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855B" w14:textId="73396B4F" w:rsidR="00724E3D" w:rsidRPr="00B2205E" w:rsidRDefault="001535FB" w:rsidP="00B2205E">
      <w:pPr>
        <w:tabs>
          <w:tab w:val="left" w:pos="2694"/>
          <w:tab w:val="left" w:pos="5529"/>
          <w:tab w:val="left" w:pos="7797"/>
        </w:tabs>
        <w:spacing w:after="0"/>
        <w:jc w:val="right"/>
        <w:rPr>
          <w:rFonts w:ascii="Cambria" w:hAnsi="Cambria" w:cs="Times New Roman"/>
          <w:b/>
          <w:bCs/>
          <w:sz w:val="36"/>
          <w:szCs w:val="36"/>
        </w:rPr>
      </w:pPr>
      <w:r w:rsidRPr="00B2205E">
        <w:rPr>
          <w:rFonts w:ascii="Cambria" w:hAnsi="Cambria" w:cs="Times New Roman"/>
          <w:b/>
          <w:bCs/>
          <w:sz w:val="36"/>
          <w:szCs w:val="36"/>
        </w:rPr>
        <w:t>CA/D 9/25</w:t>
      </w:r>
      <w:r w:rsidR="00147ED2" w:rsidRPr="00B2205E">
        <w:rPr>
          <w:rFonts w:ascii="Cambria" w:hAnsi="Cambria" w:cs="Times New Roman"/>
          <w:b/>
          <w:bCs/>
          <w:sz w:val="36"/>
          <w:szCs w:val="36"/>
        </w:rPr>
        <w:tab/>
      </w:r>
    </w:p>
    <w:p w14:paraId="0D73CA14" w14:textId="77777777" w:rsidR="00503B42" w:rsidRPr="0027720D" w:rsidRDefault="00503B42" w:rsidP="00BA7D0B">
      <w:pPr>
        <w:tabs>
          <w:tab w:val="left" w:pos="2552"/>
          <w:tab w:val="left" w:pos="5670"/>
          <w:tab w:val="left" w:pos="7797"/>
        </w:tabs>
        <w:spacing w:after="0"/>
        <w:rPr>
          <w:rFonts w:ascii="Cambria" w:hAnsi="Cambria" w:cs="Times New Roman"/>
          <w:sz w:val="24"/>
          <w:szCs w:val="24"/>
        </w:rPr>
      </w:pPr>
    </w:p>
    <w:p w14:paraId="1A69546A" w14:textId="77777777" w:rsidR="003A29F2" w:rsidRDefault="003A29F2" w:rsidP="00AD7C64">
      <w:pPr>
        <w:spacing w:after="0"/>
        <w:rPr>
          <w:rFonts w:ascii="Cambria" w:hAnsi="Cambria" w:cs="Times New Roman"/>
          <w:i/>
          <w:sz w:val="24"/>
          <w:szCs w:val="24"/>
        </w:rPr>
      </w:pPr>
    </w:p>
    <w:p w14:paraId="55D82DD7" w14:textId="77777777" w:rsidR="004F7868" w:rsidRDefault="004F7868" w:rsidP="009C1171">
      <w:pPr>
        <w:spacing w:after="0"/>
        <w:jc w:val="center"/>
        <w:rPr>
          <w:rFonts w:ascii="Cambria" w:hAnsi="Cambria" w:cs="Times New Roman"/>
          <w:i/>
          <w:sz w:val="24"/>
          <w:szCs w:val="24"/>
        </w:rPr>
      </w:pPr>
    </w:p>
    <w:p w14:paraId="5DA2CBD4" w14:textId="77777777" w:rsidR="00B2205E" w:rsidRPr="00E1509C" w:rsidRDefault="00B2205E" w:rsidP="00B2205E">
      <w:pPr>
        <w:autoSpaceDE w:val="0"/>
        <w:autoSpaceDN w:val="0"/>
        <w:adjustRightInd w:val="0"/>
        <w:spacing w:after="0"/>
        <w:ind w:left="1416" w:firstLine="708"/>
        <w:rPr>
          <w:rFonts w:ascii="Cambria" w:hAnsi="Cambria" w:cs="Times New Roman"/>
          <w:sz w:val="28"/>
          <w:szCs w:val="28"/>
        </w:rPr>
      </w:pPr>
      <w:r w:rsidRPr="00E1509C">
        <w:rPr>
          <w:rFonts w:ascii="Cambria" w:hAnsi="Cambria" w:cs="Times New Roman"/>
          <w:sz w:val="28"/>
          <w:szCs w:val="28"/>
        </w:rPr>
        <w:t xml:space="preserve">DECYZJA RADY ADMINISTRACYJNEJ </w:t>
      </w:r>
    </w:p>
    <w:p w14:paraId="497275FB" w14:textId="2B5530BD" w:rsidR="00B2205E" w:rsidRPr="00E1509C" w:rsidRDefault="00B2205E" w:rsidP="00B2205E">
      <w:pPr>
        <w:autoSpaceDE w:val="0"/>
        <w:autoSpaceDN w:val="0"/>
        <w:adjustRightInd w:val="0"/>
        <w:spacing w:after="0"/>
        <w:ind w:left="1416" w:firstLine="708"/>
        <w:rPr>
          <w:rFonts w:ascii="Cambria" w:hAnsi="Cambria" w:cs="Times New Roman"/>
          <w:sz w:val="28"/>
          <w:szCs w:val="28"/>
        </w:rPr>
      </w:pPr>
      <w:r w:rsidRPr="00E1509C">
        <w:rPr>
          <w:rFonts w:ascii="Cambria" w:hAnsi="Cambria" w:cs="Times New Roman"/>
          <w:sz w:val="28"/>
          <w:szCs w:val="28"/>
        </w:rPr>
        <w:t>z dnia 11 grudnia 2025 r.</w:t>
      </w:r>
    </w:p>
    <w:p w14:paraId="1803151E" w14:textId="439971B8" w:rsidR="00B2205E" w:rsidRPr="00E1509C" w:rsidRDefault="00E1509C" w:rsidP="0093662A">
      <w:pPr>
        <w:spacing w:after="0"/>
        <w:ind w:left="2127" w:hanging="3"/>
        <w:rPr>
          <w:rFonts w:ascii="Cambria" w:hAnsi="Cambria" w:cs="Times New Roman"/>
          <w:sz w:val="28"/>
          <w:szCs w:val="28"/>
        </w:rPr>
      </w:pPr>
      <w:r w:rsidRPr="00E1509C">
        <w:rPr>
          <w:rFonts w:ascii="Cambria" w:hAnsi="Cambria" w:cs="Times New Roman"/>
          <w:sz w:val="28"/>
          <w:szCs w:val="28"/>
        </w:rPr>
        <w:t>zmieniająca zasady Regulaminu wykonawczego do Konwencji o udzielaniu patentów europejskich i zasady dotyczące opłat oraz dostosowująca wysokość obniżki opłaty za dodatkowe poszukiwanie europejskie, w</w:t>
      </w:r>
      <w:r>
        <w:rPr>
          <w:rFonts w:ascii="Cambria" w:hAnsi="Cambria" w:cs="Times New Roman"/>
          <w:sz w:val="28"/>
          <w:szCs w:val="28"/>
        </w:rPr>
        <w:t> </w:t>
      </w:r>
      <w:r w:rsidRPr="00E1509C">
        <w:rPr>
          <w:rFonts w:ascii="Cambria" w:hAnsi="Cambria" w:cs="Times New Roman"/>
          <w:sz w:val="28"/>
          <w:szCs w:val="28"/>
        </w:rPr>
        <w:t>przypadku gdy międzynarodowe sprawozdanie lub dodatkowe międzynarodowe sprawozdanie zostały sporządzone przez jeden z europejskich Międzynarodowych Organów Poszukiwań</w:t>
      </w:r>
    </w:p>
    <w:p w14:paraId="48C16669" w14:textId="77777777" w:rsidR="00B2205E" w:rsidRDefault="00B2205E" w:rsidP="009C1171">
      <w:pPr>
        <w:spacing w:after="0"/>
        <w:jc w:val="center"/>
        <w:rPr>
          <w:rFonts w:ascii="Cambria" w:hAnsi="Cambria" w:cs="Times New Roman"/>
          <w:sz w:val="24"/>
          <w:szCs w:val="24"/>
        </w:rPr>
      </w:pPr>
    </w:p>
    <w:p w14:paraId="7C65A340" w14:textId="77777777" w:rsidR="00EB1437" w:rsidRPr="004F3482" w:rsidRDefault="00241DA7" w:rsidP="00857C53">
      <w:pPr>
        <w:rPr>
          <w:rFonts w:ascii="Cambria" w:hAnsi="Cambria" w:cs="Times New Roman"/>
          <w:sz w:val="24"/>
          <w:szCs w:val="24"/>
        </w:rPr>
      </w:pPr>
      <w:r w:rsidRPr="004F3482">
        <w:rPr>
          <w:rFonts w:ascii="Cambria" w:hAnsi="Cambria" w:cs="Times New Roman"/>
          <w:sz w:val="24"/>
          <w:szCs w:val="24"/>
        </w:rPr>
        <w:t>RADA ADMINISTRACYJNA EUROPEJSKIEJ ORGANIZACJI PATENTOWEJ,</w:t>
      </w:r>
    </w:p>
    <w:p w14:paraId="53B9B015" w14:textId="77777777" w:rsidR="0093662A" w:rsidRDefault="00B2205E" w:rsidP="00857C53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</w:t>
      </w:r>
      <w:r w:rsidR="00854529" w:rsidRPr="00D3616D">
        <w:rPr>
          <w:rFonts w:ascii="Cambria" w:hAnsi="Cambria" w:cs="Times New Roman"/>
          <w:sz w:val="24"/>
          <w:szCs w:val="24"/>
        </w:rPr>
        <w:t xml:space="preserve">względniając Konwencję o udzielaniu patentów europejskich </w:t>
      </w:r>
    </w:p>
    <w:p w14:paraId="6234DA37" w14:textId="6C8F6244" w:rsidR="00D04D01" w:rsidRPr="00D3616D" w:rsidRDefault="00854529" w:rsidP="00857C53">
      <w:pPr>
        <w:rPr>
          <w:rFonts w:ascii="Cambria" w:hAnsi="Cambria" w:cs="Times New Roman"/>
          <w:sz w:val="24"/>
          <w:szCs w:val="24"/>
        </w:rPr>
      </w:pPr>
      <w:r w:rsidRPr="00D3616D">
        <w:rPr>
          <w:rFonts w:ascii="Cambria" w:hAnsi="Cambria" w:cs="Times New Roman"/>
          <w:sz w:val="24"/>
          <w:szCs w:val="24"/>
        </w:rPr>
        <w:t>(dalej powoływaną jako „KPE”), w szczególności jej art. 33 ust. 1 lit. c) i ust. 2 lit. d),</w:t>
      </w:r>
    </w:p>
    <w:p w14:paraId="20A45583" w14:textId="6EB4D73B" w:rsidR="008C640D" w:rsidRPr="00D3616D" w:rsidRDefault="00B2205E" w:rsidP="00857C53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</w:t>
      </w:r>
      <w:r w:rsidR="008C640D" w:rsidRPr="00D3616D">
        <w:rPr>
          <w:rFonts w:ascii="Cambria" w:hAnsi="Cambria" w:cs="Times New Roman"/>
          <w:sz w:val="24"/>
          <w:szCs w:val="24"/>
        </w:rPr>
        <w:t xml:space="preserve">a wniosek </w:t>
      </w:r>
      <w:r w:rsidR="00D04D01" w:rsidRPr="00D3616D">
        <w:rPr>
          <w:rFonts w:ascii="Cambria" w:hAnsi="Cambria" w:cs="Times New Roman"/>
          <w:sz w:val="24"/>
          <w:szCs w:val="24"/>
        </w:rPr>
        <w:t>prezesa Europejskiego Urzędu Patentowego,</w:t>
      </w:r>
    </w:p>
    <w:p w14:paraId="5B713AC9" w14:textId="0551E496" w:rsidR="00857C53" w:rsidRPr="00D3616D" w:rsidRDefault="00B2205E" w:rsidP="00857C53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</w:t>
      </w:r>
      <w:r w:rsidR="008C640D" w:rsidRPr="00D3616D">
        <w:rPr>
          <w:rFonts w:ascii="Cambria" w:hAnsi="Cambria" w:cs="Times New Roman"/>
          <w:sz w:val="24"/>
          <w:szCs w:val="24"/>
        </w:rPr>
        <w:t>względniając opinie Komitetu Budżetowo-Finansowego,</w:t>
      </w:r>
    </w:p>
    <w:p w14:paraId="21E913B4" w14:textId="77777777" w:rsidR="002A0F85" w:rsidRPr="00D3616D" w:rsidRDefault="00241DA7" w:rsidP="00857C53">
      <w:pPr>
        <w:rPr>
          <w:rFonts w:ascii="Cambria" w:hAnsi="Cambria" w:cs="Times New Roman"/>
          <w:sz w:val="24"/>
          <w:szCs w:val="24"/>
        </w:rPr>
      </w:pPr>
      <w:r w:rsidRPr="00D3616D">
        <w:rPr>
          <w:rFonts w:ascii="Cambria" w:hAnsi="Cambria" w:cs="Times New Roman"/>
          <w:sz w:val="24"/>
          <w:szCs w:val="24"/>
        </w:rPr>
        <w:t>STANOWI, CO NASTĘPUJE</w:t>
      </w:r>
      <w:r w:rsidR="00857C53" w:rsidRPr="00D3616D">
        <w:rPr>
          <w:rFonts w:ascii="Cambria" w:hAnsi="Cambria" w:cs="Times New Roman"/>
          <w:sz w:val="24"/>
          <w:szCs w:val="24"/>
        </w:rPr>
        <w:t>:</w:t>
      </w:r>
    </w:p>
    <w:p w14:paraId="05A59C56" w14:textId="77777777" w:rsidR="008C5C83" w:rsidRDefault="008C5C83" w:rsidP="00F8607F">
      <w:pPr>
        <w:jc w:val="center"/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  <w:u w:val="single"/>
        </w:rPr>
        <w:t>Artykuł 1</w:t>
      </w:r>
    </w:p>
    <w:p w14:paraId="3D6B4EB5" w14:textId="272A21E4" w:rsidR="008C5C83" w:rsidRPr="00116E97" w:rsidRDefault="00E80E40" w:rsidP="009B2D0C">
      <w:pPr>
        <w:ind w:left="567" w:firstLine="0"/>
        <w:rPr>
          <w:rFonts w:ascii="Cambria" w:hAnsi="Cambria" w:cs="Times New Roman"/>
          <w:sz w:val="24"/>
          <w:szCs w:val="24"/>
        </w:rPr>
      </w:pPr>
      <w:r w:rsidRPr="00E80E40">
        <w:rPr>
          <w:rFonts w:ascii="Cambria" w:hAnsi="Cambria" w:cs="Times New Roman"/>
          <w:sz w:val="24"/>
          <w:szCs w:val="24"/>
        </w:rPr>
        <w:t xml:space="preserve">W Regulaminie </w:t>
      </w:r>
      <w:r w:rsidRPr="00116E97">
        <w:rPr>
          <w:rFonts w:ascii="Cambria" w:hAnsi="Cambria" w:cs="Times New Roman"/>
          <w:sz w:val="24"/>
          <w:szCs w:val="24"/>
        </w:rPr>
        <w:t>wykonawczym do Konwencji o udzielaniu patentów europejskich wprowadza się następujące zmiany:</w:t>
      </w:r>
      <w:r w:rsidR="00116E97" w:rsidRPr="00116E97">
        <w:rPr>
          <w:rFonts w:ascii="Cambria" w:hAnsi="Cambria" w:cs="Times New Roman"/>
          <w:sz w:val="24"/>
          <w:szCs w:val="24"/>
        </w:rPr>
        <w:t xml:space="preserve"> w zasadzie 93 ust. 2</w:t>
      </w:r>
      <w:r w:rsidR="00743B3F" w:rsidRPr="00743B3F">
        <w:rPr>
          <w:rFonts w:ascii="Cambria" w:hAnsi="Cambria" w:cs="Times New Roman"/>
          <w:sz w:val="24"/>
          <w:szCs w:val="24"/>
        </w:rPr>
        <w:t xml:space="preserve"> </w:t>
      </w:r>
      <w:r w:rsidR="008147AF" w:rsidRPr="008147AF">
        <w:rPr>
          <w:rFonts w:ascii="Cambria" w:hAnsi="Cambria" w:cs="Times New Roman"/>
          <w:sz w:val="24"/>
          <w:szCs w:val="24"/>
        </w:rPr>
        <w:t xml:space="preserve">skreśla się </w:t>
      </w:r>
      <w:r w:rsidR="00743B3F" w:rsidRPr="00116E97">
        <w:rPr>
          <w:rFonts w:ascii="Cambria" w:hAnsi="Cambria" w:cs="Times New Roman"/>
          <w:sz w:val="24"/>
          <w:szCs w:val="24"/>
        </w:rPr>
        <w:t>ostatnie zdanie</w:t>
      </w:r>
      <w:r w:rsidR="00116E97" w:rsidRPr="00116E97">
        <w:rPr>
          <w:rFonts w:ascii="Cambria" w:hAnsi="Cambria" w:cs="Times New Roman"/>
          <w:sz w:val="24"/>
          <w:szCs w:val="24"/>
        </w:rPr>
        <w:t>.</w:t>
      </w:r>
    </w:p>
    <w:p w14:paraId="58B749D3" w14:textId="77777777" w:rsidR="00F8607F" w:rsidRPr="00FE438D" w:rsidRDefault="00F8607F" w:rsidP="00F8607F">
      <w:pPr>
        <w:jc w:val="center"/>
        <w:rPr>
          <w:rFonts w:ascii="Cambria" w:hAnsi="Cambria" w:cs="Times New Roman"/>
          <w:sz w:val="24"/>
          <w:szCs w:val="24"/>
          <w:u w:val="single"/>
        </w:rPr>
      </w:pPr>
      <w:r w:rsidRPr="00FE438D">
        <w:rPr>
          <w:rFonts w:ascii="Cambria" w:hAnsi="Cambria" w:cs="Times New Roman"/>
          <w:sz w:val="24"/>
          <w:szCs w:val="24"/>
          <w:u w:val="single"/>
        </w:rPr>
        <w:t>Artykuł 2</w:t>
      </w:r>
    </w:p>
    <w:p w14:paraId="0A97F5DA" w14:textId="77777777" w:rsidR="00F8607F" w:rsidRPr="008228ED" w:rsidRDefault="00F8607F" w:rsidP="00F8607F">
      <w:pPr>
        <w:spacing w:after="0"/>
        <w:rPr>
          <w:rStyle w:val="rynqvb"/>
          <w:rFonts w:ascii="Cambria" w:hAnsi="Cambria" w:cstheme="minorHAnsi"/>
          <w:sz w:val="24"/>
          <w:szCs w:val="24"/>
        </w:rPr>
      </w:pPr>
      <w:r w:rsidRPr="008228ED">
        <w:rPr>
          <w:rStyle w:val="rynqvb"/>
          <w:rFonts w:ascii="Cambria" w:hAnsi="Cambria" w:cstheme="minorHAnsi"/>
          <w:sz w:val="24"/>
          <w:szCs w:val="24"/>
        </w:rPr>
        <w:t>W art. 2 ust. 1 i ust. 2 zasad dotyczących opłat otrzymują brzmienie:</w:t>
      </w:r>
    </w:p>
    <w:p w14:paraId="02BF69A4" w14:textId="77777777" w:rsidR="00F8607F" w:rsidRPr="00AE2C3F" w:rsidRDefault="00F8607F" w:rsidP="00F8607F">
      <w:pPr>
        <w:spacing w:after="0"/>
        <w:rPr>
          <w:rStyle w:val="rynqvb"/>
          <w:rFonts w:ascii="Cambria" w:hAnsi="Cambria" w:cstheme="minorHAnsi"/>
          <w:b/>
          <w:sz w:val="24"/>
          <w:szCs w:val="24"/>
        </w:rPr>
      </w:pPr>
    </w:p>
    <w:p w14:paraId="044469F6" w14:textId="77777777" w:rsidR="00F8607F" w:rsidRPr="00AE2C3F" w:rsidRDefault="00F8607F" w:rsidP="00F8607F">
      <w:pPr>
        <w:spacing w:after="0"/>
        <w:rPr>
          <w:rFonts w:ascii="Cambria" w:eastAsia="Times New Roman" w:hAnsi="Cambria" w:cstheme="minorHAnsi"/>
          <w:sz w:val="24"/>
          <w:szCs w:val="24"/>
          <w:lang w:eastAsia="pl-PL"/>
        </w:rPr>
      </w:pPr>
      <w:r w:rsidRPr="00AE2C3F">
        <w:rPr>
          <w:rStyle w:val="rynqvb"/>
          <w:rFonts w:ascii="Cambria" w:hAnsi="Cambria" w:cstheme="minorHAnsi"/>
          <w:b/>
          <w:sz w:val="24"/>
          <w:szCs w:val="24"/>
        </w:rPr>
        <w:t>„</w:t>
      </w:r>
      <w:r w:rsidRPr="00AE2C3F">
        <w:rPr>
          <w:rStyle w:val="rynqvb"/>
          <w:rFonts w:ascii="Cambria" w:hAnsi="Cambria" w:cstheme="minorHAnsi"/>
          <w:sz w:val="24"/>
          <w:szCs w:val="24"/>
        </w:rPr>
        <w:t>(1) Opłaty należne Urzędowi na podstawie artykułu 1, o ile ust. 2 nie stanowi inaczej, są następujące:</w:t>
      </w:r>
    </w:p>
    <w:p w14:paraId="4FA1AA61" w14:textId="77777777" w:rsidR="00F8607F" w:rsidRPr="00062334" w:rsidRDefault="00F8607F" w:rsidP="00F8607F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3"/>
        <w:gridCol w:w="2414"/>
      </w:tblGrid>
      <w:tr w:rsidR="00F8607F" w14:paraId="7379B50A" w14:textId="77777777" w:rsidTr="001C42BF">
        <w:tc>
          <w:tcPr>
            <w:tcW w:w="6653" w:type="dxa"/>
          </w:tcPr>
          <w:p w14:paraId="08123BED" w14:textId="77777777" w:rsidR="00F8607F" w:rsidRDefault="00F8607F" w:rsidP="00C235E2">
            <w:pPr>
              <w:pStyle w:val="HTMLPreformatted"/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3E919E7B" w14:textId="77777777" w:rsidR="00F8607F" w:rsidRPr="00076217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76217">
              <w:rPr>
                <w:rFonts w:ascii="Cambria" w:hAnsi="Cambria" w:cs="Times New Roman"/>
                <w:b/>
                <w:sz w:val="24"/>
                <w:szCs w:val="24"/>
              </w:rPr>
              <w:t>euro</w:t>
            </w:r>
          </w:p>
        </w:tc>
      </w:tr>
      <w:tr w:rsidR="00F8607F" w14:paraId="674A75BA" w14:textId="77777777" w:rsidTr="001C42BF">
        <w:tc>
          <w:tcPr>
            <w:tcW w:w="6653" w:type="dxa"/>
          </w:tcPr>
          <w:p w14:paraId="1F23311A" w14:textId="7CD7D3F4" w:rsidR="00F8607F" w:rsidRDefault="00F8607F" w:rsidP="00F8607F">
            <w:pPr>
              <w:pStyle w:val="HTMLPreformatted"/>
              <w:numPr>
                <w:ilvl w:val="0"/>
                <w:numId w:val="2"/>
              </w:numPr>
              <w:spacing w:after="200"/>
              <w:ind w:left="321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zgłoszenie (artykuł 78, ust. 2)</w:t>
            </w:r>
            <w:r w:rsidR="008147AF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241F7EA6" w14:textId="77777777" w:rsidR="00F8607F" w:rsidRDefault="00F8607F" w:rsidP="00C235E2">
            <w:pPr>
              <w:pStyle w:val="HTMLPreformatted"/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8607F" w14:paraId="1ECE1824" w14:textId="77777777" w:rsidTr="001C42BF">
        <w:tc>
          <w:tcPr>
            <w:tcW w:w="6653" w:type="dxa"/>
          </w:tcPr>
          <w:p w14:paraId="2E934F17" w14:textId="1662E08D" w:rsidR="00F8607F" w:rsidRDefault="00F8607F" w:rsidP="001906FB">
            <w:pPr>
              <w:pStyle w:val="HTMLPreformatted"/>
              <w:numPr>
                <w:ilvl w:val="0"/>
                <w:numId w:val="3"/>
              </w:numPr>
              <w:spacing w:after="200"/>
              <w:ind w:left="641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przypadku </w:t>
            </w:r>
            <w:r>
              <w:rPr>
                <w:rFonts w:ascii="Cambria" w:hAnsi="Cambria" w:cs="Times New Roman"/>
                <w:sz w:val="24"/>
                <w:szCs w:val="24"/>
              </w:rPr>
              <w:t>dokonania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europejskiego zgłoszenia patentowego </w:t>
            </w:r>
            <w:r>
              <w:rPr>
                <w:rFonts w:ascii="Cambria" w:hAnsi="Cambria" w:cs="Times New Roman"/>
                <w:sz w:val="24"/>
                <w:szCs w:val="24"/>
              </w:rPr>
              <w:t>albo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zgłoszenia międzynarodowego,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gdy 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>formularz wejścia w fazę europejską (</w:t>
            </w:r>
            <w:r>
              <w:rPr>
                <w:rFonts w:ascii="Cambria" w:hAnsi="Cambria" w:cs="Times New Roman"/>
                <w:sz w:val="24"/>
                <w:szCs w:val="24"/>
              </w:rPr>
              <w:t>f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>ormularz EPO 1200) jest składany drogą elektroniczną</w:t>
            </w:r>
          </w:p>
        </w:tc>
        <w:tc>
          <w:tcPr>
            <w:tcW w:w="2414" w:type="dxa"/>
          </w:tcPr>
          <w:p w14:paraId="644DFC1F" w14:textId="77777777" w:rsidR="00F8607F" w:rsidRPr="00076217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076217">
              <w:rPr>
                <w:rFonts w:ascii="Cambria" w:hAnsi="Cambria" w:cs="Times New Roman"/>
                <w:b/>
                <w:sz w:val="24"/>
                <w:szCs w:val="24"/>
              </w:rPr>
              <w:t>135</w:t>
            </w:r>
          </w:p>
        </w:tc>
      </w:tr>
      <w:tr w:rsidR="00F8607F" w14:paraId="052C4665" w14:textId="77777777" w:rsidTr="001C42BF">
        <w:tc>
          <w:tcPr>
            <w:tcW w:w="6653" w:type="dxa"/>
          </w:tcPr>
          <w:p w14:paraId="6380DF9D" w14:textId="6A4D47F4" w:rsidR="00F8607F" w:rsidRDefault="00F8607F" w:rsidP="001906FB">
            <w:pPr>
              <w:pStyle w:val="HTMLPreformatted"/>
              <w:numPr>
                <w:ilvl w:val="0"/>
                <w:numId w:val="3"/>
              </w:numPr>
              <w:spacing w:after="200"/>
              <w:ind w:left="641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przypadku </w:t>
            </w:r>
            <w:r>
              <w:rPr>
                <w:rFonts w:ascii="Cambria" w:hAnsi="Cambria" w:cs="Times New Roman"/>
                <w:sz w:val="24"/>
                <w:szCs w:val="24"/>
              </w:rPr>
              <w:t>dokonania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europejskiego zgłoszenia patentowego </w:t>
            </w:r>
            <w:r>
              <w:rPr>
                <w:rFonts w:ascii="Cambria" w:hAnsi="Cambria" w:cs="Times New Roman"/>
                <w:sz w:val="24"/>
                <w:szCs w:val="24"/>
              </w:rPr>
              <w:t>albo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zgłoszenia międzynarodowego,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gdy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lastRenderedPageBreak/>
              <w:t>formularz wejścia w fazę europejską (</w:t>
            </w:r>
            <w:r>
              <w:rPr>
                <w:rFonts w:ascii="Cambria" w:hAnsi="Cambria" w:cs="Times New Roman"/>
                <w:sz w:val="24"/>
                <w:szCs w:val="24"/>
              </w:rPr>
              <w:t>f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>ormularz EPO 1200)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nie</w:t>
            </w:r>
            <w:r w:rsidRPr="00076217">
              <w:rPr>
                <w:rFonts w:ascii="Cambria" w:hAnsi="Cambria" w:cs="Times New Roman"/>
                <w:sz w:val="24"/>
                <w:szCs w:val="24"/>
              </w:rPr>
              <w:t xml:space="preserve"> jest składany drogą elektroniczną</w:t>
            </w:r>
          </w:p>
        </w:tc>
        <w:tc>
          <w:tcPr>
            <w:tcW w:w="2414" w:type="dxa"/>
          </w:tcPr>
          <w:p w14:paraId="620F6F43" w14:textId="77777777" w:rsidR="00F8607F" w:rsidRPr="00C15BBF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15BBF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285</w:t>
            </w:r>
          </w:p>
        </w:tc>
      </w:tr>
      <w:tr w:rsidR="00F8607F" w14:paraId="382BE099" w14:textId="77777777" w:rsidTr="001C42BF">
        <w:tc>
          <w:tcPr>
            <w:tcW w:w="6653" w:type="dxa"/>
          </w:tcPr>
          <w:p w14:paraId="0D70CDCD" w14:textId="51986251" w:rsidR="00F8607F" w:rsidRPr="00253667" w:rsidRDefault="00F8607F" w:rsidP="005750B6">
            <w:pPr>
              <w:pStyle w:val="HTMLPreformatted"/>
              <w:tabs>
                <w:tab w:val="clear" w:pos="916"/>
                <w:tab w:val="left" w:pos="604"/>
              </w:tabs>
              <w:ind w:left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1a. Opłata d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 xml:space="preserve">odatkowa za europejskie zgłoszenie patentowe, </w:t>
            </w:r>
            <w:r>
              <w:rPr>
                <w:rFonts w:ascii="Cambria" w:hAnsi="Cambria" w:cs="Times New Roman"/>
                <w:sz w:val="24"/>
                <w:szCs w:val="24"/>
              </w:rPr>
              <w:t>które obejmuje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 xml:space="preserve"> więcej niż 35 stron (nie uwzględniając stron stanowiących część </w:t>
            </w:r>
            <w:r w:rsidRPr="00614797">
              <w:rPr>
                <w:rFonts w:ascii="Cambria" w:hAnsi="Cambria" w:cs="Times New Roman"/>
                <w:sz w:val="24"/>
                <w:szCs w:val="24"/>
              </w:rPr>
              <w:t>wykazu sekwencji)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r>
              <w:rPr>
                <w:rFonts w:ascii="Cambria" w:hAnsi="Cambria" w:cs="Times New Roman"/>
                <w:sz w:val="24"/>
                <w:szCs w:val="24"/>
              </w:rPr>
              <w:t>z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 xml:space="preserve">asada 38, </w:t>
            </w:r>
            <w:r w:rsidR="008147AF" w:rsidRPr="00C15BBF">
              <w:rPr>
                <w:rFonts w:ascii="Cambria" w:hAnsi="Cambria" w:cs="Times New Roman"/>
                <w:sz w:val="24"/>
                <w:szCs w:val="24"/>
              </w:rPr>
              <w:t>ust</w:t>
            </w:r>
            <w:r w:rsidR="008147AF">
              <w:rPr>
                <w:rFonts w:ascii="Cambria" w:hAnsi="Cambria" w:cs="Times New Roman"/>
                <w:sz w:val="24"/>
                <w:szCs w:val="24"/>
              </w:rPr>
              <w:t>.</w:t>
            </w:r>
            <w:r w:rsidR="008147AF" w:rsidRPr="00C15BB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>2)</w:t>
            </w:r>
            <w:r w:rsidR="00007AFA">
              <w:tab/>
            </w:r>
          </w:p>
        </w:tc>
        <w:tc>
          <w:tcPr>
            <w:tcW w:w="2414" w:type="dxa"/>
          </w:tcPr>
          <w:p w14:paraId="3B93D8A9" w14:textId="77777777" w:rsidR="00F8607F" w:rsidRPr="00151168" w:rsidRDefault="00F8607F" w:rsidP="005750B6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51168">
              <w:rPr>
                <w:rFonts w:ascii="Cambria" w:hAnsi="Cambria" w:cs="Times New Roman"/>
                <w:b/>
                <w:sz w:val="24"/>
                <w:szCs w:val="24"/>
              </w:rPr>
              <w:t xml:space="preserve">plus 17 euro </w:t>
            </w:r>
          </w:p>
          <w:p w14:paraId="31EBA529" w14:textId="77777777" w:rsidR="00F8607F" w:rsidRDefault="00F8607F" w:rsidP="005750B6">
            <w:pPr>
              <w:pStyle w:val="HTMLPreformatted"/>
              <w:jc w:val="righ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za 36 stronę </w:t>
            </w:r>
            <w:r>
              <w:rPr>
                <w:rFonts w:ascii="Cambria" w:hAnsi="Cambria" w:cs="Times New Roman"/>
                <w:sz w:val="24"/>
                <w:szCs w:val="24"/>
              </w:rPr>
              <w:br/>
              <w:t>i każda kolejną</w:t>
            </w:r>
          </w:p>
        </w:tc>
      </w:tr>
      <w:tr w:rsidR="00F8607F" w14:paraId="10108151" w14:textId="77777777" w:rsidTr="001C42BF">
        <w:tc>
          <w:tcPr>
            <w:tcW w:w="6653" w:type="dxa"/>
          </w:tcPr>
          <w:p w14:paraId="06542B19" w14:textId="5E009F35" w:rsidR="00F8607F" w:rsidRPr="00D27551" w:rsidRDefault="00F8607F" w:rsidP="00A52670">
            <w:pPr>
              <w:pStyle w:val="HTMLPreformatted"/>
              <w:spacing w:after="200"/>
              <w:ind w:left="357"/>
              <w:jc w:val="left"/>
            </w:pPr>
            <w:r>
              <w:rPr>
                <w:rFonts w:ascii="Cambria" w:hAnsi="Cambria" w:cs="Times New Roman"/>
                <w:sz w:val="24"/>
                <w:szCs w:val="24"/>
              </w:rPr>
              <w:t>1b.  Opłata d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>odatkowa</w:t>
            </w:r>
            <w:r>
              <w:rPr>
                <w:rFonts w:ascii="Cambria" w:hAnsi="Cambria" w:cs="Times New Roman"/>
                <w:sz w:val="24"/>
                <w:szCs w:val="24"/>
              </w:rPr>
              <w:t>,</w:t>
            </w:r>
            <w:r w:rsidRPr="00C15BB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51168">
              <w:rPr>
                <w:rFonts w:ascii="Cambria" w:hAnsi="Cambria" w:cs="Times New Roman"/>
                <w:sz w:val="24"/>
                <w:szCs w:val="24"/>
              </w:rPr>
              <w:t xml:space="preserve">w przypadku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gdy </w:t>
            </w:r>
            <w:r w:rsidRPr="00D27551">
              <w:rPr>
                <w:rFonts w:ascii="Cambria" w:hAnsi="Cambria" w:cs="Times New Roman"/>
                <w:sz w:val="24"/>
                <w:szCs w:val="24"/>
              </w:rPr>
              <w:t>zgłoszenia wydzielonego dokonuje się z dowolnego wcześniejszego zgłoszenia wydzielonego</w:t>
            </w:r>
            <w:r w:rsidRPr="00151168">
              <w:rPr>
                <w:rFonts w:ascii="Cambria" w:hAnsi="Cambria" w:cs="Times New Roman"/>
                <w:sz w:val="24"/>
                <w:szCs w:val="24"/>
              </w:rPr>
              <w:t xml:space="preserve"> (</w:t>
            </w:r>
            <w:r>
              <w:rPr>
                <w:rFonts w:ascii="Cambria" w:hAnsi="Cambria" w:cs="Times New Roman"/>
                <w:sz w:val="24"/>
                <w:szCs w:val="24"/>
              </w:rPr>
              <w:t>z</w:t>
            </w:r>
            <w:r w:rsidRPr="00151168">
              <w:rPr>
                <w:rFonts w:ascii="Cambria" w:hAnsi="Cambria" w:cs="Times New Roman"/>
                <w:sz w:val="24"/>
                <w:szCs w:val="24"/>
              </w:rPr>
              <w:t xml:space="preserve">asada 38, </w:t>
            </w:r>
            <w:r>
              <w:rPr>
                <w:rFonts w:ascii="Cambria" w:hAnsi="Cambria" w:cs="Times New Roman"/>
                <w:sz w:val="24"/>
                <w:szCs w:val="24"/>
              </w:rPr>
              <w:t>ust.</w:t>
            </w:r>
            <w:r w:rsidRPr="00151168">
              <w:rPr>
                <w:rFonts w:ascii="Cambria" w:hAnsi="Cambria" w:cs="Times New Roman"/>
                <w:sz w:val="24"/>
                <w:szCs w:val="24"/>
              </w:rPr>
              <w:t xml:space="preserve"> 4)</w:t>
            </w:r>
            <w:r w:rsidR="008147AF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66060591" w14:textId="77777777" w:rsidR="00F8607F" w:rsidRDefault="00F8607F" w:rsidP="00C235E2">
            <w:pPr>
              <w:pStyle w:val="HTMLPreformatted"/>
              <w:spacing w:after="20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F8607F" w14:paraId="19329268" w14:textId="77777777" w:rsidTr="001C42BF">
        <w:tc>
          <w:tcPr>
            <w:tcW w:w="6653" w:type="dxa"/>
          </w:tcPr>
          <w:p w14:paraId="643DBAA5" w14:textId="77777777" w:rsidR="00F8607F" w:rsidRDefault="00F8607F" w:rsidP="00A7229D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</w:t>
            </w:r>
            <w:r w:rsidRPr="00D27551">
              <w:rPr>
                <w:rFonts w:ascii="Cambria" w:hAnsi="Cambria" w:cs="Times New Roman"/>
                <w:sz w:val="24"/>
                <w:szCs w:val="24"/>
              </w:rPr>
              <w:t>płata za zgłoszenie wydzielone drugiej generacji</w:t>
            </w:r>
          </w:p>
        </w:tc>
        <w:tc>
          <w:tcPr>
            <w:tcW w:w="2414" w:type="dxa"/>
          </w:tcPr>
          <w:p w14:paraId="2F2E2AF4" w14:textId="77777777" w:rsidR="00F8607F" w:rsidRPr="00D27551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7551">
              <w:rPr>
                <w:rFonts w:ascii="Cambria" w:hAnsi="Cambria" w:cs="Times New Roman"/>
                <w:b/>
                <w:sz w:val="24"/>
                <w:szCs w:val="24"/>
              </w:rPr>
              <w:t>235</w:t>
            </w:r>
          </w:p>
        </w:tc>
      </w:tr>
      <w:tr w:rsidR="00F8607F" w14:paraId="5C8EAB70" w14:textId="77777777" w:rsidTr="001C42BF">
        <w:tc>
          <w:tcPr>
            <w:tcW w:w="6653" w:type="dxa"/>
          </w:tcPr>
          <w:p w14:paraId="4427695C" w14:textId="77777777" w:rsidR="00F8607F" w:rsidRDefault="00F8607F" w:rsidP="00A7229D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</w:t>
            </w:r>
            <w:r w:rsidRPr="00D27551">
              <w:rPr>
                <w:rFonts w:ascii="Cambria" w:hAnsi="Cambria" w:cs="Times New Roman"/>
                <w:sz w:val="24"/>
                <w:szCs w:val="24"/>
              </w:rPr>
              <w:t>płata za zgłoszenie wydzielone trzeciej generacji</w:t>
            </w:r>
          </w:p>
        </w:tc>
        <w:tc>
          <w:tcPr>
            <w:tcW w:w="2414" w:type="dxa"/>
          </w:tcPr>
          <w:p w14:paraId="3701D680" w14:textId="77777777" w:rsidR="00F8607F" w:rsidRPr="00D27551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FE438D">
              <w:rPr>
                <w:rFonts w:ascii="Cambria" w:hAnsi="Cambria" w:cs="Times New Roman"/>
                <w:b/>
                <w:sz w:val="24"/>
                <w:szCs w:val="24"/>
              </w:rPr>
              <w:t>480</w:t>
            </w:r>
          </w:p>
        </w:tc>
      </w:tr>
      <w:tr w:rsidR="00F8607F" w14:paraId="1D9B9A82" w14:textId="77777777" w:rsidTr="001C42BF">
        <w:tc>
          <w:tcPr>
            <w:tcW w:w="6653" w:type="dxa"/>
          </w:tcPr>
          <w:p w14:paraId="6853D7B4" w14:textId="77777777" w:rsidR="00F8607F" w:rsidRPr="00D27551" w:rsidRDefault="00F8607F" w:rsidP="00A7229D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</w:t>
            </w:r>
            <w:r w:rsidRPr="00D27551">
              <w:rPr>
                <w:rFonts w:ascii="Cambria" w:hAnsi="Cambria" w:cs="Times New Roman"/>
                <w:sz w:val="24"/>
                <w:szCs w:val="24"/>
              </w:rPr>
              <w:t>płata za zgłoszenie wydzielone czwartej generacji</w:t>
            </w:r>
          </w:p>
        </w:tc>
        <w:tc>
          <w:tcPr>
            <w:tcW w:w="2414" w:type="dxa"/>
          </w:tcPr>
          <w:p w14:paraId="7387036E" w14:textId="77777777" w:rsidR="00F8607F" w:rsidRPr="00D27551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7551">
              <w:rPr>
                <w:rFonts w:ascii="Cambria" w:hAnsi="Cambria" w:cs="Times New Roman"/>
                <w:b/>
                <w:sz w:val="24"/>
                <w:szCs w:val="24"/>
              </w:rPr>
              <w:t>715</w:t>
            </w:r>
          </w:p>
        </w:tc>
      </w:tr>
      <w:tr w:rsidR="00F8607F" w14:paraId="6A4B092E" w14:textId="77777777" w:rsidTr="001C42BF">
        <w:tc>
          <w:tcPr>
            <w:tcW w:w="6653" w:type="dxa"/>
          </w:tcPr>
          <w:p w14:paraId="75833754" w14:textId="77777777" w:rsidR="00F8607F" w:rsidRPr="00D27551" w:rsidRDefault="00F8607F" w:rsidP="00A7229D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</w:t>
            </w:r>
            <w:r w:rsidRPr="00D27551">
              <w:rPr>
                <w:rFonts w:ascii="Cambria" w:hAnsi="Cambria" w:cs="Times New Roman"/>
                <w:sz w:val="24"/>
                <w:szCs w:val="24"/>
              </w:rPr>
              <w:t>płata za zgłoszenie wydzielone piątej lub każdej kolejnej generacji</w:t>
            </w:r>
          </w:p>
        </w:tc>
        <w:tc>
          <w:tcPr>
            <w:tcW w:w="2414" w:type="dxa"/>
          </w:tcPr>
          <w:p w14:paraId="45EE8402" w14:textId="77777777" w:rsidR="00F8607F" w:rsidRPr="00D27551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D27551">
              <w:rPr>
                <w:rFonts w:ascii="Cambria" w:hAnsi="Cambria" w:cs="Times New Roman"/>
                <w:b/>
                <w:sz w:val="24"/>
                <w:szCs w:val="24"/>
              </w:rPr>
              <w:t>955</w:t>
            </w:r>
          </w:p>
        </w:tc>
      </w:tr>
      <w:tr w:rsidR="00F8607F" w14:paraId="4AC05964" w14:textId="77777777" w:rsidTr="001C42BF">
        <w:tc>
          <w:tcPr>
            <w:tcW w:w="6653" w:type="dxa"/>
          </w:tcPr>
          <w:p w14:paraId="5BAC1C5A" w14:textId="75212AAF" w:rsidR="00F8607F" w:rsidRPr="00D27551" w:rsidRDefault="00F8607F" w:rsidP="00A52670">
            <w:pPr>
              <w:pStyle w:val="HTMLPreformatted"/>
              <w:numPr>
                <w:ilvl w:val="0"/>
                <w:numId w:val="2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poszukiwanie dotyczące</w:t>
            </w:r>
            <w:r w:rsidR="00B47EA6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74C87F16" w14:textId="77777777" w:rsidR="00F8607F" w:rsidRPr="00D27551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F8607F" w14:paraId="61454C92" w14:textId="77777777" w:rsidTr="001C42BF">
        <w:tc>
          <w:tcPr>
            <w:tcW w:w="6653" w:type="dxa"/>
          </w:tcPr>
          <w:p w14:paraId="50322878" w14:textId="58E88FAA" w:rsidR="00F8607F" w:rsidRPr="00D27551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B536D9">
              <w:rPr>
                <w:rFonts w:ascii="Cambria" w:hAnsi="Cambria" w:cs="Times New Roman"/>
                <w:sz w:val="24"/>
                <w:szCs w:val="24"/>
              </w:rPr>
              <w:t>poszukiwania europejskiego albo dodatkowego poszukiwania europejskiego (art. 78, ust. 2, zasada 62, zasada 64, ust. 1, zasada 56a, ust. 8, artykuł 153, ust. 7, zasada 164, ust. 1 i 2)</w:t>
            </w:r>
          </w:p>
        </w:tc>
        <w:tc>
          <w:tcPr>
            <w:tcW w:w="2414" w:type="dxa"/>
          </w:tcPr>
          <w:p w14:paraId="2F4766F3" w14:textId="77777777" w:rsidR="00F8607F" w:rsidRPr="00D27551" w:rsidRDefault="00986719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1 595</w:t>
            </w:r>
          </w:p>
        </w:tc>
      </w:tr>
      <w:tr w:rsidR="00F8607F" w14:paraId="075A172F" w14:textId="77777777" w:rsidTr="001C42BF">
        <w:tc>
          <w:tcPr>
            <w:tcW w:w="6653" w:type="dxa"/>
          </w:tcPr>
          <w:p w14:paraId="3A976424" w14:textId="77777777" w:rsidR="00F8607F" w:rsidRPr="00D27551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B536D9">
              <w:rPr>
                <w:rFonts w:ascii="Cambria" w:hAnsi="Cambria" w:cs="Times New Roman"/>
                <w:sz w:val="24"/>
                <w:szCs w:val="24"/>
              </w:rPr>
              <w:t>poszukiwania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B536D9">
              <w:rPr>
                <w:rFonts w:ascii="Cambria" w:hAnsi="Cambria" w:cs="Times New Roman"/>
                <w:sz w:val="24"/>
                <w:szCs w:val="24"/>
              </w:rPr>
              <w:t>międzynarodowego (zasada 16.1 PCT, zasada 40bis PCT w połączeniu z zasadą 20.5</w:t>
            </w:r>
            <w:r w:rsidRPr="00B536D9">
              <w:rPr>
                <w:rFonts w:ascii="Cambria" w:hAnsi="Cambria" w:cs="Times New Roman"/>
                <w:i/>
                <w:sz w:val="24"/>
                <w:szCs w:val="24"/>
              </w:rPr>
              <w:t>bis</w:t>
            </w:r>
            <w:r w:rsidRPr="00B536D9">
              <w:rPr>
                <w:rFonts w:ascii="Cambria" w:hAnsi="Cambria" w:cs="Times New Roman"/>
                <w:sz w:val="24"/>
                <w:szCs w:val="24"/>
              </w:rPr>
              <w:t xml:space="preserve"> PCT oraz </w:t>
            </w:r>
            <w:r>
              <w:rPr>
                <w:rFonts w:ascii="Cambria" w:hAnsi="Cambria" w:cs="Times New Roman"/>
                <w:sz w:val="24"/>
                <w:szCs w:val="24"/>
              </w:rPr>
              <w:t>z</w:t>
            </w:r>
            <w:r w:rsidRPr="00B536D9">
              <w:rPr>
                <w:rFonts w:ascii="Cambria" w:hAnsi="Cambria" w:cs="Times New Roman"/>
                <w:sz w:val="24"/>
                <w:szCs w:val="24"/>
              </w:rPr>
              <w:t>asad</w:t>
            </w:r>
            <w:r>
              <w:rPr>
                <w:rFonts w:ascii="Cambria" w:hAnsi="Cambria" w:cs="Times New Roman"/>
                <w:sz w:val="24"/>
                <w:szCs w:val="24"/>
              </w:rPr>
              <w:t>ą</w:t>
            </w:r>
            <w:r w:rsidRPr="00B536D9">
              <w:rPr>
                <w:rFonts w:ascii="Cambria" w:hAnsi="Cambria" w:cs="Times New Roman"/>
                <w:sz w:val="24"/>
                <w:szCs w:val="24"/>
              </w:rPr>
              <w:t xml:space="preserve"> 158, ust</w:t>
            </w:r>
            <w:r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B536D9">
              <w:rPr>
                <w:rFonts w:ascii="Cambria" w:hAnsi="Cambria" w:cs="Times New Roman"/>
                <w:sz w:val="24"/>
                <w:szCs w:val="24"/>
              </w:rPr>
              <w:t>1)</w:t>
            </w:r>
          </w:p>
        </w:tc>
        <w:tc>
          <w:tcPr>
            <w:tcW w:w="2414" w:type="dxa"/>
          </w:tcPr>
          <w:p w14:paraId="5CE99085" w14:textId="77777777" w:rsidR="00F8607F" w:rsidRPr="00D27551" w:rsidRDefault="00986719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1 885</w:t>
            </w:r>
          </w:p>
        </w:tc>
      </w:tr>
      <w:tr w:rsidR="00F8607F" w14:paraId="7BE6E1BE" w14:textId="77777777" w:rsidTr="001C42BF">
        <w:tc>
          <w:tcPr>
            <w:tcW w:w="6653" w:type="dxa"/>
          </w:tcPr>
          <w:p w14:paraId="263829E3" w14:textId="77777777" w:rsidR="00F8607F" w:rsidRPr="00B536D9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dodatkowego międzynarodowego poszukiwania (zasada 45</w:t>
            </w:r>
            <w:r w:rsidRPr="00B536D9">
              <w:rPr>
                <w:rFonts w:ascii="Cambria" w:hAnsi="Cambria" w:cs="Times New Roman"/>
                <w:i/>
                <w:sz w:val="24"/>
                <w:szCs w:val="24"/>
              </w:rPr>
              <w:t>bis</w:t>
            </w:r>
            <w:r>
              <w:rPr>
                <w:rFonts w:ascii="Cambria" w:hAnsi="Cambria" w:cs="Times New Roman"/>
                <w:i/>
                <w:sz w:val="24"/>
                <w:szCs w:val="24"/>
              </w:rPr>
              <w:t>.</w:t>
            </w:r>
            <w:r>
              <w:rPr>
                <w:rFonts w:ascii="Cambria" w:hAnsi="Cambria" w:cs="Times New Roman"/>
                <w:sz w:val="24"/>
                <w:szCs w:val="24"/>
              </w:rPr>
              <w:t>3 lit. a) PCT)</w:t>
            </w:r>
          </w:p>
        </w:tc>
        <w:tc>
          <w:tcPr>
            <w:tcW w:w="2414" w:type="dxa"/>
          </w:tcPr>
          <w:p w14:paraId="53ABABB3" w14:textId="77777777" w:rsidR="00F8607F" w:rsidRDefault="00986719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1 885</w:t>
            </w:r>
          </w:p>
        </w:tc>
      </w:tr>
      <w:tr w:rsidR="00F8607F" w14:paraId="43FFE1E3" w14:textId="77777777" w:rsidTr="001C42BF">
        <w:tc>
          <w:tcPr>
            <w:tcW w:w="6653" w:type="dxa"/>
          </w:tcPr>
          <w:p w14:paraId="636F2F8E" w14:textId="6CDC5DAC" w:rsidR="00F8607F" w:rsidRPr="00B536D9" w:rsidRDefault="00F8607F" w:rsidP="00F8607F">
            <w:pPr>
              <w:pStyle w:val="HTMLPreformatted"/>
              <w:numPr>
                <w:ilvl w:val="0"/>
                <w:numId w:val="2"/>
              </w:numPr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Opłata za </w:t>
            </w:r>
            <w:r w:rsidRPr="00D45FEE">
              <w:rPr>
                <w:rFonts w:ascii="Cambria" w:hAnsi="Cambria" w:cs="Times New Roman"/>
                <w:sz w:val="24"/>
                <w:szCs w:val="24"/>
              </w:rPr>
              <w:t>wyznaczenie jednego lub większej liczby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umawiających się państw  (art. 79, ust. 2) w odniesieniu do zgłoszenia dokonanego w dniu 1 kwietnia 2009 r. albo po tej dacie </w:t>
            </w:r>
          </w:p>
        </w:tc>
        <w:tc>
          <w:tcPr>
            <w:tcW w:w="2414" w:type="dxa"/>
          </w:tcPr>
          <w:p w14:paraId="3B804C67" w14:textId="77777777" w:rsidR="00F8607F" w:rsidRDefault="00986719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720</w:t>
            </w:r>
          </w:p>
        </w:tc>
      </w:tr>
      <w:tr w:rsidR="00F8607F" w14:paraId="0E442CC5" w14:textId="77777777" w:rsidTr="001C42BF">
        <w:tc>
          <w:tcPr>
            <w:tcW w:w="6653" w:type="dxa"/>
          </w:tcPr>
          <w:p w14:paraId="4A898C78" w14:textId="6DE960FE" w:rsidR="00F8607F" w:rsidRPr="00B536D9" w:rsidRDefault="00F8607F" w:rsidP="00F8607F">
            <w:pPr>
              <w:pStyle w:val="HTMLPreformatted"/>
              <w:numPr>
                <w:ilvl w:val="0"/>
                <w:numId w:val="2"/>
              </w:numPr>
              <w:spacing w:after="20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utrzymanie w mocy europejskiego zgłoszenia patentowego (art. 86, ust. 1) obliczana w każdym przypadku od daty dokonania zgłoszenia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19DEAA9E" w14:textId="77777777" w:rsidR="00F8607F" w:rsidRDefault="00F8607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F8607F" w14:paraId="4ABA44BD" w14:textId="77777777" w:rsidTr="001C42BF">
        <w:tc>
          <w:tcPr>
            <w:tcW w:w="6653" w:type="dxa"/>
          </w:tcPr>
          <w:p w14:paraId="68762BF9" w14:textId="77777777" w:rsidR="00F8607F" w:rsidRPr="00B536D9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za trzeci rok</w:t>
            </w:r>
          </w:p>
        </w:tc>
        <w:tc>
          <w:tcPr>
            <w:tcW w:w="2414" w:type="dxa"/>
          </w:tcPr>
          <w:p w14:paraId="1881E852" w14:textId="77777777" w:rsidR="00F8607F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725 </w:t>
            </w:r>
          </w:p>
        </w:tc>
      </w:tr>
      <w:tr w:rsidR="00F8607F" w14:paraId="01E38483" w14:textId="77777777" w:rsidTr="001C42BF">
        <w:tc>
          <w:tcPr>
            <w:tcW w:w="6653" w:type="dxa"/>
          </w:tcPr>
          <w:p w14:paraId="66EBF447" w14:textId="77777777" w:rsidR="00F8607F" w:rsidRPr="00B536D9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>za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czwarty 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>rok</w:t>
            </w:r>
          </w:p>
        </w:tc>
        <w:tc>
          <w:tcPr>
            <w:tcW w:w="2414" w:type="dxa"/>
          </w:tcPr>
          <w:p w14:paraId="05073E09" w14:textId="77777777" w:rsidR="00F8607F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885</w:t>
            </w:r>
          </w:p>
        </w:tc>
      </w:tr>
      <w:tr w:rsidR="00F8607F" w14:paraId="1F0DE1CF" w14:textId="77777777" w:rsidTr="001C42BF">
        <w:tc>
          <w:tcPr>
            <w:tcW w:w="6653" w:type="dxa"/>
          </w:tcPr>
          <w:p w14:paraId="105F53A2" w14:textId="77777777" w:rsidR="00F8607F" w:rsidRPr="00D27551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piąty 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>rok</w:t>
            </w:r>
          </w:p>
        </w:tc>
        <w:tc>
          <w:tcPr>
            <w:tcW w:w="2414" w:type="dxa"/>
          </w:tcPr>
          <w:p w14:paraId="3418309E" w14:textId="77777777" w:rsidR="00F8607F" w:rsidRPr="00D27551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1 050</w:t>
            </w:r>
          </w:p>
        </w:tc>
      </w:tr>
      <w:tr w:rsidR="00F8607F" w14:paraId="4EA01DE0" w14:textId="77777777" w:rsidTr="001C42BF">
        <w:tc>
          <w:tcPr>
            <w:tcW w:w="6653" w:type="dxa"/>
          </w:tcPr>
          <w:p w14:paraId="729C95D1" w14:textId="77777777" w:rsidR="00F8607F" w:rsidRPr="00D27551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>szósty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414" w:type="dxa"/>
          </w:tcPr>
          <w:p w14:paraId="7C2C6809" w14:textId="77777777" w:rsidR="00F8607F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1 215</w:t>
            </w:r>
          </w:p>
        </w:tc>
      </w:tr>
      <w:tr w:rsidR="00F8607F" w14:paraId="0C26CB46" w14:textId="77777777" w:rsidTr="001C42BF">
        <w:tc>
          <w:tcPr>
            <w:tcW w:w="6653" w:type="dxa"/>
          </w:tcPr>
          <w:p w14:paraId="6FA6F6E9" w14:textId="77777777" w:rsidR="00F8607F" w:rsidRPr="00D27551" w:rsidRDefault="00F8607F" w:rsidP="003B3442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>siódmy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414" w:type="dxa"/>
          </w:tcPr>
          <w:p w14:paraId="735B2EFE" w14:textId="77777777" w:rsidR="00F8607F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1 375</w:t>
            </w:r>
          </w:p>
        </w:tc>
      </w:tr>
      <w:tr w:rsidR="00F8607F" w:rsidRPr="00C76A05" w14:paraId="6DE6E2D9" w14:textId="77777777" w:rsidTr="001C42BF">
        <w:tc>
          <w:tcPr>
            <w:tcW w:w="6653" w:type="dxa"/>
          </w:tcPr>
          <w:p w14:paraId="4750FFCA" w14:textId="77777777" w:rsidR="00F8607F" w:rsidRPr="00D27551" w:rsidRDefault="00F8607F" w:rsidP="00386FF8">
            <w:pPr>
              <w:pStyle w:val="HTMLPreformatted"/>
              <w:numPr>
                <w:ilvl w:val="0"/>
                <w:numId w:val="4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lastRenderedPageBreak/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ósmy 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>rok</w:t>
            </w:r>
          </w:p>
        </w:tc>
        <w:tc>
          <w:tcPr>
            <w:tcW w:w="2414" w:type="dxa"/>
          </w:tcPr>
          <w:p w14:paraId="0971CD8A" w14:textId="77777777" w:rsidR="00F8607F" w:rsidRPr="00C76A05" w:rsidRDefault="00B06610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1 540</w:t>
            </w:r>
          </w:p>
        </w:tc>
      </w:tr>
      <w:tr w:rsidR="00F8607F" w14:paraId="3FD7D6F4" w14:textId="77777777" w:rsidTr="001C42BF">
        <w:tc>
          <w:tcPr>
            <w:tcW w:w="6653" w:type="dxa"/>
          </w:tcPr>
          <w:p w14:paraId="4D99961E" w14:textId="77777777" w:rsidR="00F8607F" w:rsidRPr="00D27551" w:rsidRDefault="00F8607F" w:rsidP="0057468D">
            <w:pPr>
              <w:pStyle w:val="HTMLPreformatted"/>
              <w:numPr>
                <w:ilvl w:val="0"/>
                <w:numId w:val="4"/>
              </w:numPr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>dziewiąty</w:t>
            </w: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 rok</w:t>
            </w:r>
          </w:p>
        </w:tc>
        <w:tc>
          <w:tcPr>
            <w:tcW w:w="2414" w:type="dxa"/>
          </w:tcPr>
          <w:p w14:paraId="1820DD55" w14:textId="77777777" w:rsidR="00F8607F" w:rsidRDefault="00B06610" w:rsidP="0057468D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1 700</w:t>
            </w:r>
          </w:p>
        </w:tc>
      </w:tr>
      <w:tr w:rsidR="00F8607F" w14:paraId="3EF3B278" w14:textId="77777777" w:rsidTr="001C42BF">
        <w:tc>
          <w:tcPr>
            <w:tcW w:w="6653" w:type="dxa"/>
          </w:tcPr>
          <w:p w14:paraId="565E16A5" w14:textId="2D3AD115" w:rsidR="00F8607F" w:rsidRPr="00D27551" w:rsidRDefault="00F8607F" w:rsidP="0057468D">
            <w:pPr>
              <w:pStyle w:val="HTMLPreformatted"/>
              <w:numPr>
                <w:ilvl w:val="0"/>
                <w:numId w:val="4"/>
              </w:numPr>
              <w:spacing w:before="24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D60CFC">
              <w:rPr>
                <w:rFonts w:ascii="Cambria" w:hAnsi="Cambria" w:cs="Times New Roman"/>
                <w:sz w:val="24"/>
                <w:szCs w:val="24"/>
              </w:rPr>
              <w:t xml:space="preserve">za </w:t>
            </w:r>
            <w:r>
              <w:rPr>
                <w:rFonts w:ascii="Cambria" w:hAnsi="Cambria" w:cs="Times New Roman"/>
                <w:sz w:val="24"/>
                <w:szCs w:val="24"/>
              </w:rPr>
              <w:t>dziesiąty rok i za każdy kolejny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7297A722" w14:textId="77777777" w:rsidR="00F8607F" w:rsidRDefault="00B06610" w:rsidP="0057468D">
            <w:pPr>
              <w:pStyle w:val="HTMLPreformatted"/>
              <w:spacing w:before="24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1 865</w:t>
            </w:r>
          </w:p>
        </w:tc>
      </w:tr>
      <w:tr w:rsidR="00F8607F" w14:paraId="560FF908" w14:textId="77777777" w:rsidTr="001C42BF">
        <w:tc>
          <w:tcPr>
            <w:tcW w:w="6653" w:type="dxa"/>
          </w:tcPr>
          <w:p w14:paraId="26128DD2" w14:textId="5D02856C" w:rsidR="00F8607F" w:rsidRPr="00D27551" w:rsidRDefault="00F8607F" w:rsidP="00A52670">
            <w:pPr>
              <w:pStyle w:val="HTMLPreformatted"/>
              <w:numPr>
                <w:ilvl w:val="0"/>
                <w:numId w:val="2"/>
              </w:numPr>
              <w:spacing w:before="24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dodatkowa za brak wniesienia w wymaganym terminie opłaty za utrzymanie w mocy europejskiego zgłoszenia patentowego (zasada 51, ust. 2)</w:t>
            </w:r>
          </w:p>
        </w:tc>
        <w:tc>
          <w:tcPr>
            <w:tcW w:w="2414" w:type="dxa"/>
          </w:tcPr>
          <w:p w14:paraId="30D77E2B" w14:textId="77777777" w:rsidR="00F8607F" w:rsidRDefault="00F8607F" w:rsidP="00867873">
            <w:pPr>
              <w:pStyle w:val="HTMLPreformatted"/>
              <w:spacing w:before="24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50% opłaty za płatność po terminie za utrzymanie w mocy </w:t>
            </w:r>
          </w:p>
        </w:tc>
      </w:tr>
      <w:tr w:rsidR="00F8607F" w14:paraId="4B35A0CD" w14:textId="77777777" w:rsidTr="001C42BF">
        <w:tc>
          <w:tcPr>
            <w:tcW w:w="6653" w:type="dxa"/>
          </w:tcPr>
          <w:p w14:paraId="3DD197B3" w14:textId="77777777" w:rsidR="00F8607F" w:rsidRPr="00D27551" w:rsidRDefault="00F8607F" w:rsidP="00A52670">
            <w:pPr>
              <w:pStyle w:val="HTMLPreformatted"/>
              <w:numPr>
                <w:ilvl w:val="0"/>
                <w:numId w:val="2"/>
              </w:numPr>
              <w:spacing w:before="24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badanie (art. 94, ust.1) w odniesieniu do:</w:t>
            </w:r>
          </w:p>
        </w:tc>
        <w:tc>
          <w:tcPr>
            <w:tcW w:w="2414" w:type="dxa"/>
          </w:tcPr>
          <w:p w14:paraId="2CB5882B" w14:textId="77777777" w:rsidR="00F8607F" w:rsidRDefault="00F8607F" w:rsidP="00867873">
            <w:pPr>
              <w:pStyle w:val="HTMLPreformatted"/>
              <w:spacing w:before="24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B06610" w:rsidDel="00B06610" w14:paraId="7F75EA6A" w14:textId="77777777" w:rsidTr="001C42BF">
        <w:tc>
          <w:tcPr>
            <w:tcW w:w="6653" w:type="dxa"/>
          </w:tcPr>
          <w:p w14:paraId="6366C7BD" w14:textId="77777777" w:rsidR="00B06610" w:rsidDel="00B06610" w:rsidRDefault="00B06610" w:rsidP="00386FF8">
            <w:pPr>
              <w:pStyle w:val="HTMLPreformatted"/>
              <w:numPr>
                <w:ilvl w:val="0"/>
                <w:numId w:val="4"/>
              </w:numPr>
              <w:spacing w:before="240"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europejskiego zgłoszenia patentowego lub międzynarodowego zgłoszenia</w:t>
            </w:r>
            <w:r w:rsidR="0017528B">
              <w:rPr>
                <w:rFonts w:ascii="Cambria" w:hAnsi="Cambria" w:cs="Times New Roman"/>
                <w:sz w:val="24"/>
                <w:szCs w:val="24"/>
              </w:rPr>
              <w:t xml:space="preserve">, dla którego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sporządzone zostało sprawozdanie </w:t>
            </w:r>
            <w:r w:rsidR="0017528B">
              <w:rPr>
                <w:rFonts w:ascii="Cambria" w:hAnsi="Cambria" w:cs="Times New Roman"/>
                <w:sz w:val="24"/>
                <w:szCs w:val="24"/>
              </w:rPr>
              <w:br/>
            </w:r>
            <w:r>
              <w:rPr>
                <w:rFonts w:ascii="Cambria" w:hAnsi="Cambria" w:cs="Times New Roman"/>
                <w:sz w:val="24"/>
                <w:szCs w:val="24"/>
              </w:rPr>
              <w:t>z dodatkowego poszukiwania europejskiego</w:t>
            </w:r>
            <w:r w:rsidR="00721E0A">
              <w:rPr>
                <w:rFonts w:ascii="Cambria" w:hAnsi="Cambria" w:cs="Times New Roman"/>
                <w:sz w:val="24"/>
                <w:szCs w:val="24"/>
              </w:rPr>
              <w:t xml:space="preserve"> na podstawie artykułu 153, </w:t>
            </w:r>
            <w:r w:rsidR="00680043">
              <w:rPr>
                <w:rFonts w:ascii="Cambria" w:hAnsi="Cambria" w:cs="Times New Roman"/>
                <w:sz w:val="24"/>
                <w:szCs w:val="24"/>
              </w:rPr>
              <w:t>ust. 7</w:t>
            </w:r>
          </w:p>
        </w:tc>
        <w:tc>
          <w:tcPr>
            <w:tcW w:w="2414" w:type="dxa"/>
          </w:tcPr>
          <w:p w14:paraId="790993BE" w14:textId="77777777" w:rsidR="00B06610" w:rsidDel="00B06610" w:rsidRDefault="0017528B" w:rsidP="00867873">
            <w:pPr>
              <w:pStyle w:val="HTMLPreformatted"/>
              <w:spacing w:before="240"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2 010</w:t>
            </w:r>
          </w:p>
        </w:tc>
      </w:tr>
      <w:tr w:rsidR="0017528B" w:rsidDel="00B06610" w14:paraId="2149D213" w14:textId="77777777" w:rsidTr="001C42BF">
        <w:tc>
          <w:tcPr>
            <w:tcW w:w="6653" w:type="dxa"/>
          </w:tcPr>
          <w:p w14:paraId="69AED13A" w14:textId="4473E02E" w:rsidR="0017528B" w:rsidRDefault="0017528B" w:rsidP="00386FF8">
            <w:pPr>
              <w:pStyle w:val="HTMLPreformatted"/>
              <w:numPr>
                <w:ilvl w:val="0"/>
                <w:numId w:val="4"/>
              </w:numPr>
              <w:spacing w:after="200"/>
              <w:ind w:left="953" w:hanging="386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międzynarodowego zgłoszenia, dla którego </w:t>
            </w:r>
            <w:r w:rsidR="00376FFD">
              <w:rPr>
                <w:rFonts w:ascii="Cambria" w:hAnsi="Cambria" w:cs="Times New Roman"/>
                <w:sz w:val="24"/>
                <w:szCs w:val="24"/>
              </w:rPr>
              <w:t>nie sporządzone zostało sprawozdanie z dodatkowego poszukiwania europejskiego na podstawie artykułu 153, ust. 7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729D8D7C" w14:textId="77777777" w:rsidR="0017528B" w:rsidRDefault="001234E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2 240</w:t>
            </w:r>
          </w:p>
        </w:tc>
      </w:tr>
      <w:tr w:rsidR="00F8607F" w14:paraId="294110F9" w14:textId="77777777" w:rsidTr="001C42BF">
        <w:tc>
          <w:tcPr>
            <w:tcW w:w="6653" w:type="dxa"/>
          </w:tcPr>
          <w:p w14:paraId="280CD87A" w14:textId="42C8B895" w:rsidR="00F8607F" w:rsidRDefault="00F8607F" w:rsidP="00A52670">
            <w:pPr>
              <w:pStyle w:val="HTMLPreformatted"/>
              <w:numPr>
                <w:ilvl w:val="0"/>
                <w:numId w:val="2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udzielenie europejskiego patentu oraz za publikację specyfikacji patentowej (zasada 71, ust. 3) dotycząca zgłoszenia dokonanego w dniu 1 kwietnia 2009 r. albo po tej dacie</w:t>
            </w:r>
            <w:r w:rsidR="00B1435B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0FD9954B" w14:textId="77777777" w:rsidR="00F8607F" w:rsidRDefault="00187CFF" w:rsidP="00C235E2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1 135</w:t>
            </w:r>
          </w:p>
        </w:tc>
      </w:tr>
      <w:tr w:rsidR="00F8607F" w14:paraId="4D86D741" w14:textId="77777777" w:rsidTr="001C42BF">
        <w:tc>
          <w:tcPr>
            <w:tcW w:w="6653" w:type="dxa"/>
          </w:tcPr>
          <w:p w14:paraId="5FA1F759" w14:textId="2C6C1E7A" w:rsidR="00F8607F" w:rsidRDefault="00F8607F" w:rsidP="001C42BF">
            <w:pPr>
              <w:pStyle w:val="HTMLPreformatted"/>
              <w:numPr>
                <w:ilvl w:val="0"/>
                <w:numId w:val="12"/>
              </w:numPr>
              <w:spacing w:after="200"/>
              <w:ind w:left="321"/>
              <w:rPr>
                <w:rFonts w:ascii="Cambria" w:hAnsi="Cambria" w:cs="Times New Roman"/>
                <w:sz w:val="24"/>
                <w:szCs w:val="24"/>
              </w:rPr>
            </w:pPr>
            <w:r w:rsidRPr="00805D93">
              <w:rPr>
                <w:rFonts w:ascii="Cambria" w:hAnsi="Cambria" w:cs="Times New Roman"/>
                <w:sz w:val="24"/>
                <w:szCs w:val="24"/>
              </w:rPr>
              <w:t>Opłata za złożenie zawiadomienia o sprzeciwie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(art. 99, ust. 1, art. 105, ust. 2)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639B07CB" w14:textId="0ED5FEF3" w:rsidR="00F8607F" w:rsidRDefault="00867873" w:rsidP="00867873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880</w:t>
            </w:r>
          </w:p>
        </w:tc>
      </w:tr>
      <w:tr w:rsidR="00F8607F" w14:paraId="45EE6093" w14:textId="77777777" w:rsidTr="001C42BF">
        <w:tc>
          <w:tcPr>
            <w:tcW w:w="6653" w:type="dxa"/>
          </w:tcPr>
          <w:p w14:paraId="48FCB0A7" w14:textId="77777777" w:rsidR="00F8607F" w:rsidRDefault="00F8607F" w:rsidP="00867873">
            <w:pPr>
              <w:pStyle w:val="HTMLPreformatted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2111E0EB" w14:textId="5358C04C" w:rsidR="00F8607F" w:rsidRDefault="00F8607F" w:rsidP="00867873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F8607F" w14:paraId="779C14A3" w14:textId="77777777" w:rsidTr="001C42BF">
        <w:tc>
          <w:tcPr>
            <w:tcW w:w="6653" w:type="dxa"/>
          </w:tcPr>
          <w:p w14:paraId="64FBD2FF" w14:textId="4AD9F906" w:rsidR="00F8607F" w:rsidRDefault="00F8607F" w:rsidP="00AC1C47">
            <w:pPr>
              <w:pStyle w:val="HTMLPreformatted"/>
              <w:numPr>
                <w:ilvl w:val="0"/>
                <w:numId w:val="10"/>
              </w:numPr>
              <w:spacing w:after="240"/>
              <w:ind w:left="462" w:hanging="498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Opłata za wniesienie wniosku o ograniczenie albo </w:t>
            </w:r>
            <w:r w:rsidR="00052AA2">
              <w:rPr>
                <w:rFonts w:ascii="Cambria" w:hAnsi="Cambria" w:cs="Times New Roman"/>
                <w:sz w:val="24"/>
                <w:szCs w:val="24"/>
              </w:rPr>
              <w:t xml:space="preserve">                </w:t>
            </w:r>
            <w:r>
              <w:rPr>
                <w:rFonts w:ascii="Cambria" w:hAnsi="Cambria" w:cs="Times New Roman"/>
                <w:sz w:val="24"/>
                <w:szCs w:val="24"/>
              </w:rPr>
              <w:t>unieważnienie (art. 105a, ust. 1)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2BDA7A8C" w14:textId="77777777" w:rsidR="00F8607F" w:rsidRDefault="00F8607F" w:rsidP="00AC1C47">
            <w:pPr>
              <w:pStyle w:val="HTMLPreformatted"/>
              <w:spacing w:after="24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592A3419" w14:textId="77777777" w:rsidTr="001C42BF">
        <w:tc>
          <w:tcPr>
            <w:tcW w:w="6653" w:type="dxa"/>
          </w:tcPr>
          <w:p w14:paraId="39D0B1DE" w14:textId="77777777" w:rsidR="00867873" w:rsidRDefault="00867873" w:rsidP="00AC1C47">
            <w:pPr>
              <w:pStyle w:val="HTMLPreformatted"/>
              <w:numPr>
                <w:ilvl w:val="0"/>
                <w:numId w:val="6"/>
              </w:numPr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wniosek o ograniczenie</w:t>
            </w:r>
          </w:p>
        </w:tc>
        <w:tc>
          <w:tcPr>
            <w:tcW w:w="2414" w:type="dxa"/>
          </w:tcPr>
          <w:p w14:paraId="164466D8" w14:textId="0BA6BD18" w:rsidR="00867873" w:rsidRDefault="00867873" w:rsidP="00AC1C47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1 425</w:t>
            </w:r>
          </w:p>
        </w:tc>
      </w:tr>
      <w:tr w:rsidR="00867873" w14:paraId="209B31E0" w14:textId="77777777" w:rsidTr="001C42BF">
        <w:tc>
          <w:tcPr>
            <w:tcW w:w="6653" w:type="dxa"/>
          </w:tcPr>
          <w:p w14:paraId="431D95CC" w14:textId="77777777" w:rsidR="00867873" w:rsidRDefault="00867873" w:rsidP="00AC1C47">
            <w:pPr>
              <w:pStyle w:val="HTMLPreformatted"/>
              <w:ind w:left="0" w:firstLine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61089078" w14:textId="33A1D833" w:rsidR="00867873" w:rsidRDefault="00867873" w:rsidP="00AC1C47">
            <w:pPr>
              <w:pStyle w:val="HTMLPreformatted"/>
              <w:ind w:left="0" w:firstLine="0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7873" w14:paraId="606CB080" w14:textId="77777777" w:rsidTr="001C42BF">
        <w:tc>
          <w:tcPr>
            <w:tcW w:w="6653" w:type="dxa"/>
          </w:tcPr>
          <w:p w14:paraId="7CD50F86" w14:textId="273338B1" w:rsidR="00867873" w:rsidRDefault="00867873" w:rsidP="003B3442">
            <w:pPr>
              <w:pStyle w:val="HTMLPreformatted"/>
              <w:numPr>
                <w:ilvl w:val="0"/>
                <w:numId w:val="6"/>
              </w:numPr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wniosek o unieważnienie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14C18DE1" w14:textId="62EFE129" w:rsidR="00867873" w:rsidRDefault="00867873" w:rsidP="00867873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645</w:t>
            </w:r>
          </w:p>
        </w:tc>
      </w:tr>
      <w:tr w:rsidR="00867873" w14:paraId="22CFC9EE" w14:textId="77777777" w:rsidTr="001C42BF">
        <w:tc>
          <w:tcPr>
            <w:tcW w:w="6653" w:type="dxa"/>
          </w:tcPr>
          <w:p w14:paraId="44BC0E71" w14:textId="77777777" w:rsidR="00867873" w:rsidRDefault="00867873" w:rsidP="00D26228">
            <w:pPr>
              <w:pStyle w:val="HTMLPreformatted"/>
              <w:ind w:left="888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14:paraId="7D82ED1F" w14:textId="5FD9CB09" w:rsidR="00867873" w:rsidRDefault="00867873" w:rsidP="00867873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59B9DAF2" w14:textId="77777777" w:rsidTr="001C42BF">
        <w:tc>
          <w:tcPr>
            <w:tcW w:w="6653" w:type="dxa"/>
          </w:tcPr>
          <w:p w14:paraId="1882791E" w14:textId="44C5567A" w:rsidR="00867873" w:rsidRDefault="00867873" w:rsidP="001C42BF">
            <w:pPr>
              <w:pStyle w:val="HTMLPreformatted"/>
              <w:numPr>
                <w:ilvl w:val="0"/>
                <w:numId w:val="13"/>
              </w:numPr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/>
              <w:ind w:left="37" w:hanging="3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odwołanie (art. 108) dotycząca odwołania złożonego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606D3C94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34172980" w14:textId="77777777" w:rsidTr="001C42BF">
        <w:tc>
          <w:tcPr>
            <w:tcW w:w="6653" w:type="dxa"/>
          </w:tcPr>
          <w:p w14:paraId="4A11664E" w14:textId="65A3B715" w:rsidR="00867873" w:rsidRDefault="00867873" w:rsidP="000D1FAA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przez osobę, o której mowa w </w:t>
            </w:r>
            <w:r w:rsidRPr="00C76A05">
              <w:rPr>
                <w:rFonts w:ascii="Cambria" w:hAnsi="Cambria" w:cs="Times New Roman"/>
                <w:sz w:val="24"/>
                <w:szCs w:val="24"/>
              </w:rPr>
              <w:t>zasadzie 7a, ust 2 lit. a) do lit. d)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188EA9DC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2 015</w:t>
            </w:r>
          </w:p>
        </w:tc>
      </w:tr>
      <w:tr w:rsidR="00867873" w14:paraId="7C5F3184" w14:textId="77777777" w:rsidTr="001C42BF">
        <w:tc>
          <w:tcPr>
            <w:tcW w:w="6653" w:type="dxa"/>
          </w:tcPr>
          <w:p w14:paraId="779FDF66" w14:textId="2E632372" w:rsidR="00867873" w:rsidRDefault="00867873" w:rsidP="00AF4E8F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przez każdą inną osobę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4B4A4C55" w14:textId="0882EBB9" w:rsidR="00867873" w:rsidRDefault="00C61A1C" w:rsidP="001C42BF">
            <w:pPr>
              <w:pStyle w:val="HTMLPreformatted"/>
              <w:spacing w:after="200"/>
              <w:ind w:left="720" w:firstLine="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2 </w:t>
            </w:r>
            <w:r w:rsidR="00867873">
              <w:rPr>
                <w:rFonts w:ascii="Cambria" w:hAnsi="Cambria" w:cs="Times New Roman"/>
                <w:b/>
                <w:sz w:val="24"/>
                <w:szCs w:val="24"/>
              </w:rPr>
              <w:t>925</w:t>
            </w:r>
          </w:p>
        </w:tc>
      </w:tr>
      <w:tr w:rsidR="00867873" w14:paraId="5C91B5C4" w14:textId="77777777" w:rsidTr="001C42BF">
        <w:tc>
          <w:tcPr>
            <w:tcW w:w="6653" w:type="dxa"/>
          </w:tcPr>
          <w:p w14:paraId="6AFB9095" w14:textId="1941D9CA" w:rsidR="00867873" w:rsidRDefault="00867873" w:rsidP="00867873">
            <w:pPr>
              <w:pStyle w:val="HTMLPreformatted"/>
              <w:spacing w:after="200"/>
              <w:ind w:left="316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11a. Opłata za wniosek o zbadanie decyzji (art. 112a, ust. 4)</w:t>
            </w:r>
          </w:p>
        </w:tc>
        <w:tc>
          <w:tcPr>
            <w:tcW w:w="2414" w:type="dxa"/>
          </w:tcPr>
          <w:p w14:paraId="4FE6993E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3 570</w:t>
            </w:r>
          </w:p>
        </w:tc>
      </w:tr>
      <w:tr w:rsidR="00867873" w14:paraId="032E78B0" w14:textId="77777777" w:rsidTr="001C42BF">
        <w:tc>
          <w:tcPr>
            <w:tcW w:w="6653" w:type="dxa"/>
          </w:tcPr>
          <w:p w14:paraId="5CF6FCAA" w14:textId="1B66939B" w:rsidR="00867873" w:rsidRDefault="00867873" w:rsidP="001C42BF">
            <w:pPr>
              <w:pStyle w:val="HTMLPreformatted"/>
              <w:numPr>
                <w:ilvl w:val="0"/>
                <w:numId w:val="13"/>
              </w:numPr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Opłata za dalsze rozpatrywanie zgłoszenia patentowego (zasada 135, ust. 1)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0A47E525" w14:textId="77777777" w:rsidR="00867873" w:rsidRDefault="00867873" w:rsidP="00AB6257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6E1A2105" w14:textId="77777777" w:rsidTr="001C42BF">
        <w:trPr>
          <w:trHeight w:val="1019"/>
        </w:trPr>
        <w:tc>
          <w:tcPr>
            <w:tcW w:w="6653" w:type="dxa"/>
          </w:tcPr>
          <w:p w14:paraId="28D8ACEA" w14:textId="77777777" w:rsidR="00867873" w:rsidRDefault="00867873" w:rsidP="003B3442">
            <w:pPr>
              <w:pStyle w:val="HTMLPreformatted"/>
              <w:numPr>
                <w:ilvl w:val="0"/>
                <w:numId w:val="6"/>
              </w:numPr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 przypadku niedotrzymania terminu na uregulowanie opłaty</w:t>
            </w:r>
          </w:p>
        </w:tc>
        <w:tc>
          <w:tcPr>
            <w:tcW w:w="2414" w:type="dxa"/>
          </w:tcPr>
          <w:p w14:paraId="1B6E5099" w14:textId="77777777" w:rsidR="00867873" w:rsidRDefault="00867873" w:rsidP="00AB6257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50%</w:t>
            </w:r>
          </w:p>
          <w:p w14:paraId="7216C1EA" w14:textId="77777777" w:rsidR="00867873" w:rsidRDefault="00867873" w:rsidP="00AB6257">
            <w:pPr>
              <w:pStyle w:val="HTMLPreformatted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odpowiedniej opłaty</w:t>
            </w:r>
          </w:p>
        </w:tc>
      </w:tr>
      <w:tr w:rsidR="00867873" w14:paraId="391E78CE" w14:textId="77777777" w:rsidTr="001C42BF">
        <w:tc>
          <w:tcPr>
            <w:tcW w:w="6653" w:type="dxa"/>
          </w:tcPr>
          <w:p w14:paraId="7B71B61F" w14:textId="77777777" w:rsidR="00867873" w:rsidRDefault="00867873" w:rsidP="003B3442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AB75A2">
              <w:rPr>
                <w:rFonts w:ascii="Cambria" w:hAnsi="Cambria" w:cs="Times New Roman"/>
                <w:sz w:val="24"/>
                <w:szCs w:val="24"/>
              </w:rPr>
              <w:t>w przypadku opóźnionego wykonania czynności wymaganych zgodnie z zasadą 71, ust. 3.</w:t>
            </w:r>
          </w:p>
        </w:tc>
        <w:tc>
          <w:tcPr>
            <w:tcW w:w="2414" w:type="dxa"/>
          </w:tcPr>
          <w:p w14:paraId="5464C676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315</w:t>
            </w:r>
          </w:p>
        </w:tc>
      </w:tr>
      <w:tr w:rsidR="00867873" w14:paraId="700ABACF" w14:textId="77777777" w:rsidTr="001C42BF">
        <w:tc>
          <w:tcPr>
            <w:tcW w:w="6653" w:type="dxa"/>
          </w:tcPr>
          <w:p w14:paraId="610D4BCE" w14:textId="493958D5" w:rsidR="00867873" w:rsidRDefault="00867873" w:rsidP="003B3442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w innych przypadkach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5621F6ED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315</w:t>
            </w:r>
          </w:p>
        </w:tc>
      </w:tr>
      <w:tr w:rsidR="00867873" w14:paraId="5E90941E" w14:textId="77777777" w:rsidTr="001C42BF">
        <w:tc>
          <w:tcPr>
            <w:tcW w:w="6653" w:type="dxa"/>
          </w:tcPr>
          <w:p w14:paraId="66AD99CC" w14:textId="3811ADB5" w:rsidR="00867873" w:rsidRDefault="00867873" w:rsidP="001C42BF">
            <w:pPr>
              <w:pStyle w:val="HTMLPreformatted"/>
              <w:numPr>
                <w:ilvl w:val="0"/>
                <w:numId w:val="13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Opłata za </w:t>
            </w:r>
            <w:r w:rsidRPr="00AE2C3F">
              <w:rPr>
                <w:rFonts w:ascii="Cambria" w:hAnsi="Cambria" w:cs="Times New Roman"/>
                <w:sz w:val="24"/>
                <w:szCs w:val="24"/>
              </w:rPr>
              <w:t>przywrócenie praw/</w:t>
            </w:r>
            <w:proofErr w:type="spellStart"/>
            <w:r w:rsidRPr="00AE2C3F">
              <w:rPr>
                <w:rFonts w:ascii="Cambria" w:hAnsi="Cambria" w:cs="Times New Roman"/>
                <w:sz w:val="24"/>
                <w:szCs w:val="24"/>
              </w:rPr>
              <w:t>restitutio</w:t>
            </w:r>
            <w:proofErr w:type="spellEnd"/>
            <w:r w:rsidRPr="00AE2C3F">
              <w:rPr>
                <w:rFonts w:ascii="Cambria" w:hAnsi="Cambria" w:cs="Times New Roman"/>
                <w:sz w:val="24"/>
                <w:szCs w:val="24"/>
              </w:rPr>
              <w:t xml:space="preserve"> et </w:t>
            </w:r>
            <w:proofErr w:type="spellStart"/>
            <w:r w:rsidRPr="00AE2C3F">
              <w:rPr>
                <w:rFonts w:ascii="Cambria" w:hAnsi="Cambria" w:cs="Times New Roman"/>
                <w:sz w:val="24"/>
                <w:szCs w:val="24"/>
              </w:rPr>
              <w:t>integrum</w:t>
            </w:r>
            <w:proofErr w:type="spellEnd"/>
            <w:r w:rsidRPr="00AE2C3F">
              <w:rPr>
                <w:rFonts w:ascii="Cambria" w:hAnsi="Cambria" w:cs="Times New Roman"/>
                <w:sz w:val="24"/>
                <w:szCs w:val="24"/>
              </w:rPr>
              <w:t xml:space="preserve"> (zasada 136, ust. 1, zasada 26</w:t>
            </w:r>
            <w:r w:rsidRPr="00AE2C3F">
              <w:rPr>
                <w:rFonts w:ascii="Cambria" w:hAnsi="Cambria" w:cs="Times New Roman"/>
                <w:i/>
                <w:sz w:val="24"/>
                <w:szCs w:val="24"/>
              </w:rPr>
              <w:t>bis</w:t>
            </w:r>
            <w:r w:rsidRPr="00AE2C3F">
              <w:rPr>
                <w:rFonts w:ascii="Cambria" w:hAnsi="Cambria" w:cs="Times New Roman"/>
                <w:sz w:val="24"/>
                <w:szCs w:val="24"/>
              </w:rPr>
              <w:t>.3 lit. d) PCT, zasada 49</w:t>
            </w:r>
            <w:r w:rsidRPr="00AE2C3F">
              <w:rPr>
                <w:rFonts w:ascii="Cambria" w:hAnsi="Cambria" w:cs="Times New Roman"/>
                <w:i/>
                <w:sz w:val="24"/>
                <w:szCs w:val="24"/>
              </w:rPr>
              <w:t>ter</w:t>
            </w:r>
            <w:r w:rsidRPr="00AE2C3F">
              <w:rPr>
                <w:rFonts w:ascii="Cambria" w:hAnsi="Cambria" w:cs="Times New Roman"/>
                <w:sz w:val="24"/>
                <w:szCs w:val="24"/>
              </w:rPr>
              <w:t>.2 lit. d) PCT, zasada 49.6 lit. d) pkt i PCT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2CF21807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790</w:t>
            </w:r>
          </w:p>
        </w:tc>
      </w:tr>
      <w:tr w:rsidR="00867873" w14:paraId="09ABF7BD" w14:textId="77777777" w:rsidTr="001C42BF">
        <w:tc>
          <w:tcPr>
            <w:tcW w:w="6653" w:type="dxa"/>
          </w:tcPr>
          <w:p w14:paraId="6B8F18FD" w14:textId="77777777" w:rsidR="00867873" w:rsidRDefault="00867873" w:rsidP="001C42BF">
            <w:pPr>
              <w:pStyle w:val="HTMLPreformatted"/>
              <w:numPr>
                <w:ilvl w:val="0"/>
                <w:numId w:val="13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zamianę (art. 135, ust. 3, art. 140)</w:t>
            </w:r>
          </w:p>
        </w:tc>
        <w:tc>
          <w:tcPr>
            <w:tcW w:w="2414" w:type="dxa"/>
          </w:tcPr>
          <w:p w14:paraId="6BBE96CC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0</w:t>
            </w:r>
          </w:p>
        </w:tc>
      </w:tr>
      <w:tr w:rsidR="00867873" w14:paraId="59B7B48B" w14:textId="77777777" w:rsidTr="001C42BF">
        <w:tc>
          <w:tcPr>
            <w:tcW w:w="6653" w:type="dxa"/>
          </w:tcPr>
          <w:p w14:paraId="254BC93B" w14:textId="77777777" w:rsidR="00867873" w:rsidRDefault="00867873" w:rsidP="0025054E">
            <w:pPr>
              <w:pStyle w:val="HTMLPreformatted"/>
              <w:spacing w:after="200"/>
              <w:ind w:left="0" w:firstLine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14a. </w:t>
            </w:r>
            <w:r w:rsidRPr="00C76A05">
              <w:rPr>
                <w:rFonts w:ascii="Cambria" w:hAnsi="Cambria" w:cs="Times New Roman"/>
                <w:sz w:val="24"/>
                <w:szCs w:val="24"/>
              </w:rPr>
              <w:t>Opłata za złożenie wykazu sekwencji po dacie dokonania zgłoszenia (zasada 30, ust. 3)</w:t>
            </w:r>
          </w:p>
        </w:tc>
        <w:tc>
          <w:tcPr>
            <w:tcW w:w="2414" w:type="dxa"/>
          </w:tcPr>
          <w:p w14:paraId="67739F6B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280</w:t>
            </w:r>
          </w:p>
        </w:tc>
      </w:tr>
      <w:tr w:rsidR="00867873" w14:paraId="3A41B061" w14:textId="77777777" w:rsidTr="001C42BF">
        <w:tc>
          <w:tcPr>
            <w:tcW w:w="6653" w:type="dxa"/>
          </w:tcPr>
          <w:p w14:paraId="77962F2E" w14:textId="0E4CD67B" w:rsidR="00867873" w:rsidRPr="00AE2C3F" w:rsidRDefault="00867873" w:rsidP="001C42BF">
            <w:pPr>
              <w:pStyle w:val="HTMLPreformatted"/>
              <w:numPr>
                <w:ilvl w:val="0"/>
                <w:numId w:val="13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 w:rsidRPr="00AE2C3F">
              <w:rPr>
                <w:rFonts w:ascii="Cambria" w:hAnsi="Cambria" w:cs="Times New Roman"/>
                <w:sz w:val="24"/>
                <w:szCs w:val="24"/>
              </w:rPr>
              <w:t>Opłata za zastrzeżenia patentowe (zasada 45, ust. 1, zasada 71, ust. 4, zasada 162, ust. 1 w odniesieniu do zgłoszenia dokonanego 1 kwietnia 2009 r. albo po tej dacie</w:t>
            </w:r>
            <w:r w:rsidR="001012E0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579CED1F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7A4D05CD" w14:textId="77777777" w:rsidTr="001C42BF">
        <w:tc>
          <w:tcPr>
            <w:tcW w:w="6653" w:type="dxa"/>
          </w:tcPr>
          <w:p w14:paraId="05184538" w14:textId="7BC54D81" w:rsidR="00867873" w:rsidRPr="00AE2C3F" w:rsidRDefault="00867873" w:rsidP="005750B6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AE2C3F">
              <w:rPr>
                <w:rFonts w:ascii="Cambria" w:hAnsi="Cambria" w:cs="Times New Roman"/>
                <w:sz w:val="24"/>
                <w:szCs w:val="24"/>
              </w:rPr>
              <w:t>za 16. i każde następne zastrzeżenie do limitu 50 zastrzeżeń</w:t>
            </w:r>
            <w:r w:rsidR="0045016E">
              <w:rPr>
                <w:rFonts w:ascii="Cambria" w:hAnsi="Cambria" w:cs="Times New Roman"/>
                <w:sz w:val="24"/>
                <w:szCs w:val="24"/>
              </w:rPr>
              <w:t>,</w:t>
            </w:r>
          </w:p>
        </w:tc>
        <w:tc>
          <w:tcPr>
            <w:tcW w:w="2414" w:type="dxa"/>
          </w:tcPr>
          <w:p w14:paraId="0F242FDE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290</w:t>
            </w:r>
          </w:p>
        </w:tc>
      </w:tr>
      <w:tr w:rsidR="00867873" w14:paraId="2B9814C7" w14:textId="77777777" w:rsidTr="001C42BF">
        <w:tc>
          <w:tcPr>
            <w:tcW w:w="6653" w:type="dxa"/>
          </w:tcPr>
          <w:p w14:paraId="77E4857A" w14:textId="5B3B4380" w:rsidR="00867873" w:rsidRPr="00AE2C3F" w:rsidRDefault="00867873" w:rsidP="005750B6">
            <w:pPr>
              <w:pStyle w:val="HTMLPreformatted"/>
              <w:numPr>
                <w:ilvl w:val="0"/>
                <w:numId w:val="6"/>
              </w:numPr>
              <w:spacing w:after="200"/>
              <w:ind w:left="924" w:hanging="357"/>
              <w:rPr>
                <w:rFonts w:ascii="Cambria" w:hAnsi="Cambria" w:cs="Times New Roman"/>
                <w:sz w:val="24"/>
                <w:szCs w:val="24"/>
              </w:rPr>
            </w:pPr>
            <w:r w:rsidRPr="00AE2C3F">
              <w:rPr>
                <w:rFonts w:ascii="Cambria" w:hAnsi="Cambria" w:cs="Times New Roman"/>
                <w:sz w:val="24"/>
                <w:szCs w:val="24"/>
              </w:rPr>
              <w:t>za 51. i każde następne zastrzeżenie</w:t>
            </w:r>
            <w:r w:rsidR="0045016E">
              <w:rPr>
                <w:rFonts w:ascii="Cambria" w:hAnsi="Cambria" w:cs="Times New Roman"/>
                <w:sz w:val="24"/>
                <w:szCs w:val="24"/>
              </w:rPr>
              <w:t>.</w:t>
            </w:r>
            <w:r w:rsidRPr="00AE2C3F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4" w:type="dxa"/>
          </w:tcPr>
          <w:p w14:paraId="14E18AD7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720</w:t>
            </w:r>
          </w:p>
        </w:tc>
      </w:tr>
      <w:tr w:rsidR="00867873" w14:paraId="652EFAF9" w14:textId="77777777" w:rsidTr="001C42BF">
        <w:tc>
          <w:tcPr>
            <w:tcW w:w="6653" w:type="dxa"/>
          </w:tcPr>
          <w:p w14:paraId="0461D264" w14:textId="6DC6B834" w:rsidR="00867873" w:rsidRPr="00AE2C3F" w:rsidRDefault="00867873" w:rsidP="001C42BF">
            <w:pPr>
              <w:pStyle w:val="HTMLPreformatted"/>
              <w:numPr>
                <w:ilvl w:val="0"/>
                <w:numId w:val="13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 w:rsidRPr="00AE2C3F">
              <w:rPr>
                <w:rFonts w:ascii="Cambria" w:hAnsi="Cambria" w:cs="Times New Roman"/>
                <w:sz w:val="24"/>
                <w:szCs w:val="24"/>
              </w:rPr>
              <w:t>Opłata za wniosek o wydanie decyzji w sprawie ustalenia</w:t>
            </w:r>
            <w:r w:rsidR="00580B53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AE2C3F">
              <w:rPr>
                <w:rFonts w:ascii="Cambria" w:hAnsi="Cambria" w:cs="Times New Roman"/>
                <w:sz w:val="24"/>
                <w:szCs w:val="24"/>
              </w:rPr>
              <w:t>kosztów (zasada 88, ust. 3)</w:t>
            </w:r>
          </w:p>
        </w:tc>
        <w:tc>
          <w:tcPr>
            <w:tcW w:w="2414" w:type="dxa"/>
          </w:tcPr>
          <w:p w14:paraId="37D0ED5E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95</w:t>
            </w:r>
          </w:p>
        </w:tc>
      </w:tr>
      <w:tr w:rsidR="00867873" w14:paraId="24011C12" w14:textId="77777777" w:rsidTr="001C42BF">
        <w:tc>
          <w:tcPr>
            <w:tcW w:w="6653" w:type="dxa"/>
          </w:tcPr>
          <w:p w14:paraId="26FB1E40" w14:textId="21F6E1B9" w:rsidR="00867873" w:rsidRDefault="00867873" w:rsidP="001C42BF">
            <w:pPr>
              <w:pStyle w:val="HTMLPreformatted"/>
              <w:numPr>
                <w:ilvl w:val="0"/>
                <w:numId w:val="14"/>
              </w:numPr>
              <w:tabs>
                <w:tab w:val="clear" w:pos="916"/>
              </w:tabs>
              <w:spacing w:after="200"/>
              <w:ind w:left="462" w:hanging="468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przekazanie zgłoszenia międzynarodowego (zasada 157, ust. 4)</w:t>
            </w:r>
          </w:p>
        </w:tc>
        <w:tc>
          <w:tcPr>
            <w:tcW w:w="2414" w:type="dxa"/>
          </w:tcPr>
          <w:p w14:paraId="0AC433BA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160</w:t>
            </w:r>
          </w:p>
        </w:tc>
      </w:tr>
      <w:tr w:rsidR="00867873" w14:paraId="477C934F" w14:textId="77777777" w:rsidTr="001C42BF">
        <w:tc>
          <w:tcPr>
            <w:tcW w:w="6653" w:type="dxa"/>
          </w:tcPr>
          <w:p w14:paraId="599EAC8A" w14:textId="5D946BC2" w:rsidR="00867873" w:rsidRDefault="00867873" w:rsidP="001C42BF">
            <w:pPr>
              <w:pStyle w:val="HTMLPreformatted"/>
              <w:numPr>
                <w:ilvl w:val="0"/>
                <w:numId w:val="14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badanie wstępne zgłoszenia międzynarodowego (zasada 58 PCT oraz zasada 158, ust. 2)</w:t>
            </w:r>
          </w:p>
        </w:tc>
        <w:tc>
          <w:tcPr>
            <w:tcW w:w="2414" w:type="dxa"/>
          </w:tcPr>
          <w:p w14:paraId="374E0758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2 010</w:t>
            </w:r>
          </w:p>
        </w:tc>
      </w:tr>
      <w:tr w:rsidR="00867873" w14:paraId="28849797" w14:textId="77777777" w:rsidTr="001C42BF">
        <w:tc>
          <w:tcPr>
            <w:tcW w:w="6653" w:type="dxa"/>
          </w:tcPr>
          <w:p w14:paraId="112C1D76" w14:textId="301981C7" w:rsidR="00867873" w:rsidRDefault="00867873" w:rsidP="001C42BF">
            <w:pPr>
              <w:pStyle w:val="HTMLPreformatted"/>
              <w:numPr>
                <w:ilvl w:val="0"/>
                <w:numId w:val="14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Opłata za wydanie opinii </w:t>
            </w:r>
            <w:r w:rsidRPr="00C76A05">
              <w:rPr>
                <w:rFonts w:ascii="Cambria" w:hAnsi="Cambria" w:cs="Times New Roman"/>
                <w:sz w:val="24"/>
                <w:szCs w:val="24"/>
              </w:rPr>
              <w:t>technicznej (art. 25)</w:t>
            </w:r>
          </w:p>
        </w:tc>
        <w:tc>
          <w:tcPr>
            <w:tcW w:w="2414" w:type="dxa"/>
          </w:tcPr>
          <w:p w14:paraId="6472F096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4 790</w:t>
            </w:r>
          </w:p>
        </w:tc>
      </w:tr>
      <w:tr w:rsidR="00867873" w14:paraId="05D1BD61" w14:textId="77777777" w:rsidTr="001C42BF">
        <w:tc>
          <w:tcPr>
            <w:tcW w:w="6653" w:type="dxa"/>
          </w:tcPr>
          <w:p w14:paraId="01B84151" w14:textId="53F3D701" w:rsidR="00867873" w:rsidRDefault="00867873" w:rsidP="001C42BF">
            <w:pPr>
              <w:pStyle w:val="HTMLPreformatted"/>
              <w:numPr>
                <w:ilvl w:val="0"/>
                <w:numId w:val="14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rozpatrzenie protestu (zasada 158, ust. 3. zasada 40.2 lit. e) PCT, zasada 68.3 lit. e) PCT</w:t>
            </w:r>
            <w:r w:rsidR="007908BC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2414" w:type="dxa"/>
          </w:tcPr>
          <w:p w14:paraId="14AE8284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1 070</w:t>
            </w:r>
          </w:p>
        </w:tc>
      </w:tr>
      <w:tr w:rsidR="00867873" w14:paraId="16B7E8AE" w14:textId="77777777" w:rsidTr="001C42BF">
        <w:tc>
          <w:tcPr>
            <w:tcW w:w="6653" w:type="dxa"/>
          </w:tcPr>
          <w:p w14:paraId="5A5AD7ED" w14:textId="77777777" w:rsidR="00867873" w:rsidRDefault="00867873" w:rsidP="001C42BF">
            <w:pPr>
              <w:pStyle w:val="HTMLPreformatted"/>
              <w:numPr>
                <w:ilvl w:val="0"/>
                <w:numId w:val="14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złożenie wniosku o rewizję opinii (zasada 45</w:t>
            </w:r>
            <w:r w:rsidRPr="00AD5AF1">
              <w:rPr>
                <w:rFonts w:ascii="Cambria" w:hAnsi="Cambria" w:cs="Times New Roman"/>
                <w:i/>
                <w:sz w:val="24"/>
                <w:szCs w:val="24"/>
              </w:rPr>
              <w:t>bis</w:t>
            </w:r>
            <w:r>
              <w:rPr>
                <w:rFonts w:ascii="Cambria" w:hAnsi="Cambria" w:cs="Times New Roman"/>
                <w:sz w:val="24"/>
                <w:szCs w:val="24"/>
              </w:rPr>
              <w:t>.6 lit. c) PCT)</w:t>
            </w:r>
          </w:p>
        </w:tc>
        <w:tc>
          <w:tcPr>
            <w:tcW w:w="2414" w:type="dxa"/>
          </w:tcPr>
          <w:p w14:paraId="6A1A86F2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1 070</w:t>
            </w:r>
          </w:p>
        </w:tc>
      </w:tr>
      <w:tr w:rsidR="00867873" w14:paraId="5416ECA3" w14:textId="77777777" w:rsidTr="001C42BF">
        <w:tc>
          <w:tcPr>
            <w:tcW w:w="6653" w:type="dxa"/>
          </w:tcPr>
          <w:p w14:paraId="28660ADE" w14:textId="77777777" w:rsidR="00867873" w:rsidRDefault="00867873" w:rsidP="00867873">
            <w:pPr>
              <w:pStyle w:val="HTMLPreformatted"/>
              <w:spacing w:after="200"/>
              <w:ind w:left="316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(2) W przypadku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europejskich zgłoszeń patentowych złożonych przed 1</w:t>
            </w:r>
            <w:r>
              <w:rPr>
                <w:rFonts w:ascii="Cambria" w:hAnsi="Cambria" w:cs="Times New Roman"/>
                <w:sz w:val="24"/>
                <w:szCs w:val="24"/>
              </w:rPr>
              <w:t> 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kwietnia 2009 r. oraz międzynarodowych zgłoszeń, które weszły w fazę regionalną przed tą datą, </w:t>
            </w:r>
            <w:r>
              <w:rPr>
                <w:rFonts w:ascii="Cambria" w:hAnsi="Cambria" w:cs="Times New Roman"/>
                <w:sz w:val="24"/>
                <w:szCs w:val="24"/>
              </w:rPr>
              <w:t>wysokość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opłat określonych w</w:t>
            </w:r>
            <w:r>
              <w:rPr>
                <w:rFonts w:ascii="Cambria" w:hAnsi="Cambria" w:cs="Times New Roman"/>
                <w:sz w:val="24"/>
                <w:szCs w:val="24"/>
              </w:rPr>
              <w:t> art.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2, pkt 3, pkt 3a, pkt 7 i pkt 15 </w:t>
            </w:r>
            <w:r>
              <w:rPr>
                <w:rFonts w:ascii="Cambria" w:hAnsi="Cambria" w:cs="Times New Roman"/>
                <w:sz w:val="24"/>
                <w:szCs w:val="24"/>
              </w:rPr>
              <w:t>zasad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dotycząc</w:t>
            </w:r>
            <w:r>
              <w:rPr>
                <w:rFonts w:ascii="Cambria" w:hAnsi="Cambria" w:cs="Times New Roman"/>
                <w:sz w:val="24"/>
                <w:szCs w:val="24"/>
              </w:rPr>
              <w:t>ych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opłat</w:t>
            </w:r>
            <w:r>
              <w:rPr>
                <w:rFonts w:ascii="Cambria" w:hAnsi="Cambria" w:cs="Times New Roman"/>
                <w:sz w:val="24"/>
                <w:szCs w:val="24"/>
              </w:rPr>
              <w:t>,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obowiązując</w:t>
            </w:r>
            <w:r>
              <w:rPr>
                <w:rFonts w:ascii="Cambria" w:hAnsi="Cambria" w:cs="Times New Roman"/>
                <w:sz w:val="24"/>
                <w:szCs w:val="24"/>
              </w:rPr>
              <w:t>ych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 xml:space="preserve"> do 31 marca 2009 r. </w:t>
            </w:r>
            <w:r>
              <w:rPr>
                <w:rFonts w:ascii="Cambria" w:hAnsi="Cambria" w:cs="Times New Roman"/>
                <w:sz w:val="24"/>
                <w:szCs w:val="24"/>
              </w:rPr>
              <w:t>wynosić będzie</w:t>
            </w:r>
            <w:r w:rsidRPr="00AD5AF1">
              <w:rPr>
                <w:rFonts w:ascii="Cambria" w:hAnsi="Cambria" w:cs="Times New Roman"/>
                <w:sz w:val="24"/>
                <w:szCs w:val="24"/>
              </w:rPr>
              <w:t>:</w:t>
            </w:r>
          </w:p>
        </w:tc>
        <w:tc>
          <w:tcPr>
            <w:tcW w:w="2414" w:type="dxa"/>
          </w:tcPr>
          <w:p w14:paraId="6DBBAE34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526E4D7F" w14:textId="77777777" w:rsidTr="001C42BF">
        <w:tc>
          <w:tcPr>
            <w:tcW w:w="6653" w:type="dxa"/>
          </w:tcPr>
          <w:p w14:paraId="0E810ADA" w14:textId="65E86AC3" w:rsidR="00867873" w:rsidRDefault="00867873" w:rsidP="00867873">
            <w:pPr>
              <w:pStyle w:val="HTMLPreformatted"/>
              <w:spacing w:after="200"/>
              <w:ind w:left="316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lastRenderedPageBreak/>
              <w:t>3.</w:t>
            </w:r>
            <w:r w:rsidR="00B61619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A06A0A">
              <w:rPr>
                <w:rFonts w:ascii="Cambria" w:hAnsi="Cambria" w:cs="Times New Roman"/>
                <w:sz w:val="24"/>
                <w:szCs w:val="24"/>
              </w:rPr>
              <w:t>Opłata za wyznaczenie w odniesieniu do każdego umawiającego się państwa, które zostało wyznaczone (art. 79, ust. 2), przy czym opłaty za wyznaczenie uważa się za uiszczone w stosunku do wszystkich umawiających się państw po dokonaniu płatności siedmiokrotności tej opłaty.</w:t>
            </w:r>
          </w:p>
        </w:tc>
        <w:tc>
          <w:tcPr>
            <w:tcW w:w="2414" w:type="dxa"/>
          </w:tcPr>
          <w:p w14:paraId="0789F450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125</w:t>
            </w:r>
          </w:p>
        </w:tc>
      </w:tr>
      <w:tr w:rsidR="00867873" w14:paraId="14193F50" w14:textId="77777777" w:rsidTr="001C42BF">
        <w:tc>
          <w:tcPr>
            <w:tcW w:w="6653" w:type="dxa"/>
          </w:tcPr>
          <w:p w14:paraId="6C9FCFF5" w14:textId="3D2B46A9" w:rsidR="00867873" w:rsidRDefault="00867873" w:rsidP="004C0CBA">
            <w:pPr>
              <w:pStyle w:val="HTMLPreformatted"/>
              <w:spacing w:after="200"/>
              <w:ind w:left="316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3a. Wspólna opłata z tytułu wyznaczenia Konfederacji Szwajcarskiej oraz Księstwa Liechtensteinu</w:t>
            </w:r>
            <w:r w:rsidR="0099555B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2414" w:type="dxa"/>
          </w:tcPr>
          <w:p w14:paraId="49F9ED81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125</w:t>
            </w:r>
          </w:p>
        </w:tc>
      </w:tr>
      <w:tr w:rsidR="00867873" w14:paraId="12A92B69" w14:textId="77777777" w:rsidTr="001C42BF">
        <w:tc>
          <w:tcPr>
            <w:tcW w:w="6653" w:type="dxa"/>
          </w:tcPr>
          <w:p w14:paraId="279EA48C" w14:textId="25987C29" w:rsidR="00867873" w:rsidRDefault="00867873" w:rsidP="00FD47CE">
            <w:pPr>
              <w:pStyle w:val="HTMLPreformatted"/>
              <w:spacing w:after="200"/>
              <w:ind w:left="462" w:hanging="53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7.</w:t>
            </w:r>
            <w:r w:rsidR="00FD47C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Opłata za udzielenie patentu, </w:t>
            </w:r>
            <w:r>
              <w:rPr>
                <w:rFonts w:ascii="Cambria" w:hAnsi="Cambria" w:cs="Times New Roman"/>
                <w:sz w:val="24"/>
                <w:szCs w:val="24"/>
              </w:rPr>
              <w:t>zawierająca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 opłatę za</w:t>
            </w:r>
            <w:r w:rsidR="00FD47C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>
              <w:rPr>
                <w:rFonts w:ascii="Cambria" w:hAnsi="Cambria" w:cs="Times New Roman"/>
                <w:sz w:val="24"/>
                <w:szCs w:val="24"/>
              </w:rPr>
              <w:t>wy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drukowanie specyfikacji patentowej europejskiego patentu (zasada 71, ust. 3), 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w przypadku 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gdy dokumenty zgłoszeniowe </w:t>
            </w:r>
            <w:r>
              <w:rPr>
                <w:rFonts w:ascii="Cambria" w:hAnsi="Cambria" w:cs="Times New Roman"/>
                <w:sz w:val="24"/>
                <w:szCs w:val="24"/>
              </w:rPr>
              <w:t>przeznaczone do druku obejmują:</w:t>
            </w:r>
          </w:p>
        </w:tc>
        <w:tc>
          <w:tcPr>
            <w:tcW w:w="2414" w:type="dxa"/>
          </w:tcPr>
          <w:p w14:paraId="0C1B6974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867873" w14:paraId="03FD37AE" w14:textId="77777777" w:rsidTr="001C42BF">
        <w:tc>
          <w:tcPr>
            <w:tcW w:w="6653" w:type="dxa"/>
          </w:tcPr>
          <w:p w14:paraId="7EF30B52" w14:textId="47FF3FD0" w:rsidR="00867873" w:rsidRPr="00DE490A" w:rsidRDefault="00867873" w:rsidP="004C0CBA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after="20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DE490A">
              <w:rPr>
                <w:rFonts w:ascii="Cambria" w:hAnsi="Cambria" w:cs="Times New Roman"/>
                <w:sz w:val="24"/>
                <w:szCs w:val="24"/>
              </w:rPr>
              <w:t>7.</w:t>
            </w: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  </w:t>
            </w:r>
            <w:r>
              <w:rPr>
                <w:rFonts w:ascii="Cambria" w:hAnsi="Cambria" w:cs="Times New Roman"/>
                <w:sz w:val="24"/>
                <w:szCs w:val="24"/>
              </w:rPr>
              <w:t>nie więcej niż</w:t>
            </w: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 35 stron</w:t>
            </w:r>
          </w:p>
        </w:tc>
        <w:tc>
          <w:tcPr>
            <w:tcW w:w="2414" w:type="dxa"/>
          </w:tcPr>
          <w:p w14:paraId="4D064120" w14:textId="77777777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  1 135</w:t>
            </w:r>
          </w:p>
        </w:tc>
      </w:tr>
      <w:tr w:rsidR="00867873" w14:paraId="473462BA" w14:textId="77777777" w:rsidTr="001C42BF">
        <w:tc>
          <w:tcPr>
            <w:tcW w:w="6653" w:type="dxa"/>
          </w:tcPr>
          <w:p w14:paraId="13AA1E4D" w14:textId="77777777" w:rsidR="00867873" w:rsidRDefault="00867873" w:rsidP="004C0CBA">
            <w:pPr>
              <w:pStyle w:val="HTMLPreformatted"/>
              <w:spacing w:after="200"/>
              <w:ind w:left="0" w:firstLine="0"/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DE490A">
              <w:rPr>
                <w:rFonts w:ascii="Cambria" w:hAnsi="Cambria" w:cs="Times New Roman"/>
                <w:sz w:val="24"/>
                <w:szCs w:val="24"/>
              </w:rPr>
              <w:t xml:space="preserve">7.2  ponad 35 stron </w:t>
            </w:r>
          </w:p>
          <w:p w14:paraId="757592AC" w14:textId="77777777" w:rsidR="00867873" w:rsidRPr="00867873" w:rsidRDefault="00867873" w:rsidP="004C0CBA">
            <w:pPr>
              <w:jc w:val="left"/>
            </w:pPr>
          </w:p>
          <w:p w14:paraId="244DB387" w14:textId="78394FA8" w:rsidR="00867873" w:rsidRPr="00867873" w:rsidRDefault="00867873" w:rsidP="004C0CBA">
            <w:pPr>
              <w:tabs>
                <w:tab w:val="left" w:pos="1395"/>
              </w:tabs>
              <w:jc w:val="left"/>
            </w:pPr>
          </w:p>
        </w:tc>
        <w:tc>
          <w:tcPr>
            <w:tcW w:w="2414" w:type="dxa"/>
          </w:tcPr>
          <w:p w14:paraId="53ED070D" w14:textId="77777777" w:rsidR="00867873" w:rsidRPr="00DE490A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sz w:val="24"/>
                <w:szCs w:val="24"/>
              </w:rPr>
            </w:pPr>
            <w:r w:rsidRPr="00DE490A">
              <w:rPr>
                <w:rFonts w:ascii="Cambria" w:hAnsi="Cambria" w:cs="Times New Roman"/>
                <w:sz w:val="24"/>
                <w:szCs w:val="24"/>
              </w:rPr>
              <w:t>Kwota w wysokości podanej w pkt. 7.1.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plus 19 euro </w:t>
            </w:r>
            <w:r>
              <w:rPr>
                <w:rFonts w:ascii="Cambria" w:hAnsi="Cambria" w:cs="Times New Roman"/>
                <w:sz w:val="24"/>
                <w:szCs w:val="24"/>
              </w:rPr>
              <w:t>za 36-stą i każdą następną stronę</w:t>
            </w:r>
          </w:p>
        </w:tc>
      </w:tr>
      <w:tr w:rsidR="00867873" w14:paraId="75B61F9F" w14:textId="77777777" w:rsidTr="001C42BF">
        <w:tc>
          <w:tcPr>
            <w:tcW w:w="6653" w:type="dxa"/>
          </w:tcPr>
          <w:p w14:paraId="3FBC4DB7" w14:textId="77777777" w:rsidR="00867873" w:rsidRPr="00DE490A" w:rsidRDefault="00867873" w:rsidP="004C0CBA">
            <w:pPr>
              <w:pStyle w:val="HTMLPreformatted"/>
              <w:numPr>
                <w:ilvl w:val="0"/>
                <w:numId w:val="7"/>
              </w:numPr>
              <w:spacing w:after="200"/>
              <w:ind w:left="357" w:hanging="357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Opłata za zastrzeżenia patentowe dotycząca szesnastego i każdego następnego zastrzeżenia (zasada 45, ust. 1, zasada 71, ust. 4, zasada 162, ust. 1).”.</w:t>
            </w:r>
          </w:p>
        </w:tc>
        <w:tc>
          <w:tcPr>
            <w:tcW w:w="2414" w:type="dxa"/>
          </w:tcPr>
          <w:p w14:paraId="35FE3EA5" w14:textId="6AF5BE64" w:rsidR="00867873" w:rsidRDefault="00867873" w:rsidP="00867873">
            <w:pPr>
              <w:pStyle w:val="HTMLPreformatted"/>
              <w:spacing w:after="200"/>
              <w:jc w:val="right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290</w:t>
            </w:r>
            <w:r w:rsidR="00A27364">
              <w:rPr>
                <w:rFonts w:ascii="Cambria" w:hAnsi="Cambria" w:cs="Times New Roman"/>
                <w:b/>
                <w:sz w:val="24"/>
                <w:szCs w:val="24"/>
              </w:rPr>
              <w:t>”</w:t>
            </w:r>
          </w:p>
        </w:tc>
      </w:tr>
    </w:tbl>
    <w:p w14:paraId="66E8153D" w14:textId="77777777" w:rsidR="000F1054" w:rsidRDefault="000F1054" w:rsidP="00F8607F">
      <w:pPr>
        <w:rPr>
          <w:rFonts w:ascii="Cambria" w:hAnsi="Cambria" w:cs="Times New Roman"/>
          <w:b/>
          <w:sz w:val="24"/>
          <w:szCs w:val="24"/>
        </w:rPr>
      </w:pPr>
    </w:p>
    <w:p w14:paraId="7083B660" w14:textId="77777777" w:rsidR="000F1054" w:rsidRPr="00FE438D" w:rsidRDefault="000F1054" w:rsidP="000F1054">
      <w:pPr>
        <w:jc w:val="center"/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  <w:u w:val="single"/>
        </w:rPr>
        <w:t>Artykuł 3</w:t>
      </w:r>
    </w:p>
    <w:p w14:paraId="07F86C53" w14:textId="619362C8" w:rsidR="009E7848" w:rsidRDefault="000F1054" w:rsidP="004C0CBA">
      <w:pPr>
        <w:pStyle w:val="ListParagraph"/>
        <w:numPr>
          <w:ilvl w:val="0"/>
          <w:numId w:val="8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>Opłata za dodatkowe poszukiwanie europejskie, w przypadku międzynarodowego zgłoszenia, dla którego sprawozdanie 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poszukiwania międzynarodowego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albo </w:t>
      </w:r>
      <w:r w:rsidRPr="000D3D49">
        <w:rPr>
          <w:rFonts w:ascii="Cambria" w:hAnsi="Cambria" w:cs="Times New Roman"/>
          <w:sz w:val="24"/>
          <w:szCs w:val="24"/>
        </w:rPr>
        <w:t xml:space="preserve">sprawozdanie z dodatkowego poszukiwania </w:t>
      </w:r>
      <w:r>
        <w:rPr>
          <w:rFonts w:ascii="Cambria" w:hAnsi="Cambria" w:cs="Times New Roman"/>
          <w:sz w:val="24"/>
          <w:szCs w:val="24"/>
        </w:rPr>
        <w:t>międzynarodow</w:t>
      </w:r>
      <w:r w:rsidRPr="000D3D49">
        <w:rPr>
          <w:rFonts w:ascii="Cambria" w:hAnsi="Cambria" w:cs="Times New Roman"/>
          <w:sz w:val="24"/>
          <w:szCs w:val="24"/>
        </w:rPr>
        <w:t xml:space="preserve">ego 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>zostało sporządzone przez Austriacki Urząd Patentowy albo, zgodnie z Protokołem o Centralizacji, przez Fiński Urząd Patentowy i Rejestracyjny, Hiszpański Urząd Patent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Znaków Towarowych, Szwedzki Urząd Własności Intelektualnej, Turecki Urząd Patent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</w:t>
      </w:r>
      <w:r w:rsidR="00E6083C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Znaków Towarowych, Nordycki Instytut Patentowy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albo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Wyszehradzki Instytut Patentowy zostaje obniżona o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76A0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1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365</w:t>
      </w:r>
      <w:r w:rsidRPr="00C76A0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euro</w:t>
      </w:r>
      <w:r w:rsidRPr="000F1054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14:paraId="606071E9" w14:textId="77777777" w:rsidR="009E7848" w:rsidRPr="009E7848" w:rsidRDefault="009E7848" w:rsidP="004C0CBA">
      <w:pPr>
        <w:pStyle w:val="ListParagraph"/>
        <w:spacing w:line="240" w:lineRule="auto"/>
        <w:ind w:left="357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EFED59A" w14:textId="77777777" w:rsidR="009E7848" w:rsidRPr="009E7848" w:rsidRDefault="009E7848" w:rsidP="004C0CBA">
      <w:pPr>
        <w:pStyle w:val="ListParagraph"/>
        <w:numPr>
          <w:ilvl w:val="0"/>
          <w:numId w:val="8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przypadku udzielenia obniżki zgodnie z ust. 1, maksymalna kwota obniżki opłaty za dodatkowe poszukiwanie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europejskie 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odpowiada obniżce przyznanej na podstawie pojedynczego sprawozdania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poszukiwania międzynarodowego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albo sprawozdania z 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dodatkowego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poszukiwania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międzynarodowego sporządzonego przez jedną 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 w:rsidRPr="000D3D49">
        <w:rPr>
          <w:rFonts w:ascii="Cambria" w:eastAsia="Times New Roman" w:hAnsi="Cambria" w:cs="Times New Roman"/>
          <w:sz w:val="24"/>
          <w:szCs w:val="24"/>
          <w:lang w:eastAsia="pl-PL"/>
        </w:rPr>
        <w:t>instytucji wymienionych w ust. 1.</w:t>
      </w:r>
    </w:p>
    <w:p w14:paraId="44D40CE3" w14:textId="6E41720A" w:rsidR="00E6083C" w:rsidRDefault="00E6083C">
      <w:pPr>
        <w:rPr>
          <w:rFonts w:ascii="Cambria" w:hAnsi="Cambria" w:cs="Times New Roman"/>
          <w:sz w:val="24"/>
          <w:szCs w:val="24"/>
          <w:u w:val="single"/>
        </w:rPr>
      </w:pPr>
    </w:p>
    <w:p w14:paraId="41556C9B" w14:textId="2359BDD3" w:rsidR="000F1054" w:rsidRDefault="004D0B4A" w:rsidP="000F1054">
      <w:pPr>
        <w:jc w:val="center"/>
        <w:rPr>
          <w:rFonts w:ascii="Cambria" w:hAnsi="Cambria" w:cs="Times New Roman"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  <w:u w:val="single"/>
        </w:rPr>
        <w:t>Artykuł 4</w:t>
      </w:r>
    </w:p>
    <w:p w14:paraId="0534534C" w14:textId="77777777" w:rsidR="00A516DA" w:rsidRDefault="00E114B1" w:rsidP="006610D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lastRenderedPageBreak/>
        <w:t>Bez uszczerbku dla ust. 2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>, now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 kwoty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opłat określon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art. 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>2 niniejszej decyzji mają zastosowanie do płatności dok</w:t>
      </w:r>
      <w:r w:rsidR="00F43C8E">
        <w:rPr>
          <w:rFonts w:ascii="Cambria" w:eastAsia="Times New Roman" w:hAnsi="Cambria" w:cs="Times New Roman"/>
          <w:sz w:val="24"/>
          <w:szCs w:val="24"/>
          <w:lang w:eastAsia="pl-PL"/>
        </w:rPr>
        <w:t>onywanych w dniu 1 kwietnia 2026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albo po tej dacie.</w:t>
      </w:r>
    </w:p>
    <w:p w14:paraId="436C4E0C" w14:textId="77777777" w:rsidR="001C5524" w:rsidRDefault="001C5524" w:rsidP="001C5524">
      <w:pPr>
        <w:pStyle w:val="ListParagraph"/>
        <w:spacing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CFAE81E" w14:textId="77777777" w:rsidR="00A516DA" w:rsidRDefault="00A516DA" w:rsidP="006610D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Nowa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kwota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opłaty za </w:t>
      </w:r>
      <w:r w:rsidRPr="00F278A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przekazanie międzynarodowego 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>zgłoszenia ma zastosowanie do zgłoszeń dokonanych</w:t>
      </w:r>
      <w:r w:rsidR="00087D5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dniu 1 kwietnia 2026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albo po tej dacie.</w:t>
      </w:r>
    </w:p>
    <w:p w14:paraId="30A7A4DC" w14:textId="77777777" w:rsidR="001C5524" w:rsidRDefault="001C5524" w:rsidP="001C5524">
      <w:pPr>
        <w:pStyle w:val="ListParagraph"/>
        <w:spacing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A6C5D39" w14:textId="77777777" w:rsidR="001C5524" w:rsidRDefault="00FF0A3B" w:rsidP="006610D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>Jeż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eli w ciągu sześciu miesięcy od 1 kwietnia 2026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opłata zostanie uregulowana zgodnie z terminem, ale jedynie w wysokości obowiązującej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przed 1 kwietnia 2026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 opłata będzie uznana za ważnie uiszczoną, pod warunkiem uzupełnienia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brakującej kwoty</w:t>
      </w:r>
      <w:r w:rsidRPr="00733E7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ciągu dwóch miesięcy od otrzymania wezwania ze strony Europejskiego Urzędu Patentowego.</w:t>
      </w:r>
    </w:p>
    <w:p w14:paraId="1A410A42" w14:textId="77777777" w:rsidR="001C5524" w:rsidRPr="001C5524" w:rsidRDefault="001C5524" w:rsidP="001C5524">
      <w:pPr>
        <w:pStyle w:val="ListParagraph"/>
        <w:spacing w:line="240" w:lineRule="auto"/>
        <w:ind w:left="426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4C334271" w14:textId="0E17CC16" w:rsidR="00E41D2D" w:rsidRPr="00C81ADE" w:rsidRDefault="000F6C20" w:rsidP="006610D7">
      <w:pPr>
        <w:pStyle w:val="ListParagraph"/>
        <w:numPr>
          <w:ilvl w:val="0"/>
          <w:numId w:val="9"/>
        </w:numPr>
        <w:spacing w:line="240" w:lineRule="auto"/>
        <w:ind w:left="357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Art. 3</w:t>
      </w:r>
      <w:r w:rsidRPr="000526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niniejszej decyzji ma zastosowanie do międzynarodowych zgłoszeń dokonanych do dnia 31 marca 2028 r., dla których sprawozdanie z poszukiwania międzynarodowego albo sprawozdanie z dodatkowego poszukiwania międzynarodowego zostało sporządzone przez Austriacki Urząd Patentowy, Fiński Urząd Patentowy i Rejestracyjny, Hiszpański Urząd Patent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ów</w:t>
      </w:r>
      <w:r w:rsidRPr="000526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i Znaków Towarowych, Szwedzki Urząd Własności Intel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ektualnej, Turecki Urząd Patentów </w:t>
      </w:r>
      <w:r w:rsidRPr="000526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Znaków Towarowych, Nordycki Instytut Patentowy albo Wyszehradzki Instytut Patentowy oraz dla których opłata za dodatkowe poszukiwanie europejskie zostanie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uiszczona w</w:t>
      </w:r>
      <w:r w:rsidR="00A7229D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dniu 1 kwietnia 2026</w:t>
      </w:r>
      <w:r w:rsidRPr="000526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 albo po tej dacie.</w:t>
      </w:r>
    </w:p>
    <w:p w14:paraId="6588D94B" w14:textId="77777777" w:rsidR="00E41D2D" w:rsidRDefault="00E41D2D" w:rsidP="00E41D2D">
      <w:pPr>
        <w:jc w:val="center"/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Artykuł 5</w:t>
      </w:r>
    </w:p>
    <w:p w14:paraId="4E04EFD5" w14:textId="5584EC4E" w:rsidR="004D0B4A" w:rsidRDefault="00574CF2" w:rsidP="00574CF2">
      <w:pPr>
        <w:pStyle w:val="HTMLPreformatted"/>
        <w:ind w:left="357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 w:rsidR="00B44743">
        <w:rPr>
          <w:rFonts w:ascii="Cambria" w:hAnsi="Cambria" w:cs="Times New Roman"/>
          <w:sz w:val="24"/>
          <w:szCs w:val="24"/>
        </w:rPr>
        <w:t>Art. 4</w:t>
      </w:r>
      <w:r w:rsidR="00B44743" w:rsidRPr="00525CA9">
        <w:rPr>
          <w:rFonts w:ascii="Cambria" w:hAnsi="Cambria" w:cs="Times New Roman"/>
          <w:sz w:val="24"/>
          <w:szCs w:val="24"/>
        </w:rPr>
        <w:t xml:space="preserve"> decyzji CA/D </w:t>
      </w:r>
      <w:r w:rsidR="00B44743">
        <w:rPr>
          <w:rFonts w:ascii="Cambria" w:hAnsi="Cambria" w:cs="Times New Roman"/>
          <w:sz w:val="24"/>
          <w:szCs w:val="24"/>
        </w:rPr>
        <w:t>16/23 z dnia 14 grudnia 2023 r. (Dziennik Urzędowy EPO 2024, A3</w:t>
      </w:r>
      <w:r w:rsidR="00B44743" w:rsidRPr="00525CA9">
        <w:rPr>
          <w:rFonts w:ascii="Cambria" w:hAnsi="Cambria" w:cs="Times New Roman"/>
          <w:sz w:val="24"/>
          <w:szCs w:val="24"/>
        </w:rPr>
        <w:t>) traci moc</w:t>
      </w:r>
      <w:r w:rsidR="00B44743">
        <w:rPr>
          <w:rFonts w:ascii="Cambria" w:hAnsi="Cambria" w:cs="Times New Roman"/>
          <w:sz w:val="24"/>
          <w:szCs w:val="24"/>
        </w:rPr>
        <w:t xml:space="preserve"> z dniem 1 kwietnia 2026</w:t>
      </w:r>
      <w:r w:rsidR="00B44743" w:rsidRPr="00525CA9">
        <w:rPr>
          <w:rFonts w:ascii="Cambria" w:hAnsi="Cambria" w:cs="Times New Roman"/>
          <w:sz w:val="24"/>
          <w:szCs w:val="24"/>
        </w:rPr>
        <w:t xml:space="preserve"> r. i zostaje zastąpiony</w:t>
      </w:r>
      <w:r w:rsidR="00B44743">
        <w:rPr>
          <w:rFonts w:ascii="Cambria" w:hAnsi="Cambria" w:cs="Times New Roman"/>
          <w:sz w:val="24"/>
          <w:szCs w:val="24"/>
        </w:rPr>
        <w:t xml:space="preserve"> art. 3</w:t>
      </w:r>
      <w:r w:rsidR="00B44743" w:rsidRPr="00525CA9">
        <w:rPr>
          <w:rFonts w:ascii="Cambria" w:hAnsi="Cambria" w:cs="Times New Roman"/>
          <w:sz w:val="24"/>
          <w:szCs w:val="24"/>
        </w:rPr>
        <w:t xml:space="preserve"> niniejszej decyzji.</w:t>
      </w:r>
    </w:p>
    <w:p w14:paraId="2E719333" w14:textId="77777777" w:rsidR="00ED413F" w:rsidRDefault="00ED413F" w:rsidP="00574CF2">
      <w:pPr>
        <w:pStyle w:val="HTMLPreformatted"/>
        <w:ind w:left="0"/>
        <w:rPr>
          <w:rFonts w:ascii="Cambria" w:hAnsi="Cambria" w:cs="Times New Roman"/>
          <w:sz w:val="24"/>
          <w:szCs w:val="24"/>
        </w:rPr>
      </w:pPr>
    </w:p>
    <w:p w14:paraId="5628D6AE" w14:textId="77777777" w:rsidR="006C22EC" w:rsidRDefault="00C02C01" w:rsidP="00574CF2">
      <w:pPr>
        <w:ind w:left="0" w:firstLine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02C01">
        <w:rPr>
          <w:rFonts w:ascii="Cambria" w:eastAsia="Times New Roman" w:hAnsi="Cambria" w:cs="Times New Roman"/>
          <w:sz w:val="24"/>
          <w:szCs w:val="24"/>
          <w:lang w:eastAsia="pl-PL"/>
        </w:rPr>
        <w:t>Niniejsza decyzja wchodz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i w życie </w:t>
      </w:r>
      <w:r w:rsidR="001A39BC">
        <w:rPr>
          <w:rFonts w:ascii="Cambria" w:eastAsia="Times New Roman" w:hAnsi="Cambria" w:cs="Times New Roman"/>
          <w:sz w:val="24"/>
          <w:szCs w:val="24"/>
          <w:lang w:eastAsia="pl-PL"/>
        </w:rPr>
        <w:t>z dniem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1 kwietnia 2026</w:t>
      </w:r>
      <w:r w:rsidRPr="00C02C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</w:p>
    <w:p w14:paraId="77C0B22A" w14:textId="77777777" w:rsidR="00517091" w:rsidRDefault="00517091" w:rsidP="006C22EC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67FF71C" w14:textId="77777777" w:rsidR="006C22EC" w:rsidRDefault="006C22EC" w:rsidP="00574CF2">
      <w:pPr>
        <w:ind w:left="0" w:firstLine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25B34">
        <w:rPr>
          <w:rFonts w:ascii="Cambria" w:eastAsia="Times New Roman" w:hAnsi="Cambria" w:cs="Times New Roman"/>
          <w:sz w:val="24"/>
          <w:szCs w:val="24"/>
          <w:lang w:eastAsia="pl-PL"/>
        </w:rPr>
        <w:t>Sporządzono w Monachium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,</w:t>
      </w:r>
      <w:r w:rsidRPr="00E25B3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11 grudnia 2025</w:t>
      </w:r>
      <w:r w:rsidRPr="00E25B34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</w:p>
    <w:p w14:paraId="6637BEC4" w14:textId="77777777" w:rsidR="006C22EC" w:rsidRDefault="006C22EC" w:rsidP="006C22EC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39E5DFE" w14:textId="77777777" w:rsidR="006C22EC" w:rsidRDefault="006C22EC" w:rsidP="006C22EC">
      <w:pPr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D888541" w14:textId="77777777" w:rsidR="006C22EC" w:rsidRPr="00A9771A" w:rsidRDefault="006C22EC" w:rsidP="004159BB">
      <w:pPr>
        <w:pStyle w:val="HTMLPreformatted"/>
        <w:ind w:left="5103"/>
        <w:jc w:val="center"/>
        <w:rPr>
          <w:rFonts w:ascii="Cambria" w:hAnsi="Cambria" w:cs="Times New Roman"/>
          <w:sz w:val="24"/>
          <w:szCs w:val="24"/>
        </w:rPr>
      </w:pPr>
      <w:r w:rsidRPr="00A9771A">
        <w:rPr>
          <w:rFonts w:ascii="Cambria" w:hAnsi="Cambria" w:cs="Times New Roman"/>
          <w:sz w:val="24"/>
          <w:szCs w:val="24"/>
        </w:rPr>
        <w:t>W imieniu Rady Administracyjnej</w:t>
      </w:r>
      <w:r w:rsidRPr="00A9771A">
        <w:rPr>
          <w:rFonts w:ascii="Cambria" w:hAnsi="Cambria" w:cs="Times New Roman"/>
          <w:sz w:val="24"/>
          <w:szCs w:val="24"/>
        </w:rPr>
        <w:br/>
        <w:t>Przewodniczący</w:t>
      </w:r>
    </w:p>
    <w:p w14:paraId="296D005B" w14:textId="77777777" w:rsidR="006C22EC" w:rsidRDefault="006C22EC" w:rsidP="006C22EC">
      <w:pPr>
        <w:pStyle w:val="HTMLPreformatted"/>
        <w:ind w:left="5103"/>
        <w:rPr>
          <w:rFonts w:ascii="Cambria" w:hAnsi="Cambria" w:cs="Times New Roman"/>
          <w:sz w:val="24"/>
          <w:szCs w:val="24"/>
        </w:rPr>
      </w:pPr>
    </w:p>
    <w:p w14:paraId="55B372B5" w14:textId="77777777" w:rsidR="00ED413F" w:rsidRPr="004D0B4A" w:rsidRDefault="006C22EC" w:rsidP="00C81ADE">
      <w:pPr>
        <w:pStyle w:val="HTMLPreformatted"/>
        <w:ind w:left="5103"/>
        <w:jc w:val="center"/>
        <w:rPr>
          <w:rFonts w:ascii="Cambria" w:hAnsi="Cambria" w:cs="Times New Roman"/>
          <w:sz w:val="24"/>
          <w:szCs w:val="24"/>
        </w:rPr>
      </w:pPr>
      <w:r w:rsidRPr="00A9771A">
        <w:rPr>
          <w:rFonts w:ascii="Cambria" w:hAnsi="Cambria" w:cs="Times New Roman"/>
          <w:sz w:val="24"/>
          <w:szCs w:val="24"/>
        </w:rPr>
        <w:t>Josef KRATOCHV</w:t>
      </w:r>
      <w:r>
        <w:rPr>
          <w:rFonts w:ascii="Cambria" w:hAnsi="Cambria" w:cs="Times New Roman"/>
          <w:sz w:val="24"/>
          <w:szCs w:val="24"/>
        </w:rPr>
        <w:t>Í</w:t>
      </w:r>
      <w:r w:rsidRPr="00A9771A">
        <w:rPr>
          <w:rFonts w:ascii="Cambria" w:hAnsi="Cambria" w:cs="Times New Roman"/>
          <w:sz w:val="24"/>
          <w:szCs w:val="24"/>
        </w:rPr>
        <w:t>L</w:t>
      </w:r>
    </w:p>
    <w:sectPr w:rsidR="00ED413F" w:rsidRPr="004D0B4A" w:rsidSect="00C61A1C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7F69" w14:textId="77777777" w:rsidR="000677CB" w:rsidRDefault="000677CB" w:rsidP="00D04D01">
      <w:pPr>
        <w:spacing w:after="0"/>
      </w:pPr>
      <w:r>
        <w:separator/>
      </w:r>
    </w:p>
  </w:endnote>
  <w:endnote w:type="continuationSeparator" w:id="0">
    <w:p w14:paraId="4BE5D70D" w14:textId="77777777" w:rsidR="000677CB" w:rsidRDefault="000677CB" w:rsidP="00D04D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4"/>
      </w:rPr>
      <w:id w:val="-966432073"/>
      <w:docPartObj>
        <w:docPartGallery w:val="Page Numbers (Bottom of Page)"/>
        <w:docPartUnique/>
      </w:docPartObj>
    </w:sdtPr>
    <w:sdtContent>
      <w:p w14:paraId="6C006B02" w14:textId="0CCC90DD" w:rsidR="00304B14" w:rsidRPr="004F305A" w:rsidRDefault="00E9228B" w:rsidP="00E9228B">
        <w:pPr>
          <w:pStyle w:val="Footer"/>
          <w:rPr>
            <w:rFonts w:ascii="Cambria" w:hAnsi="Cambria"/>
            <w:sz w:val="24"/>
          </w:rPr>
        </w:pPr>
        <w:r w:rsidRPr="004F305A">
          <w:rPr>
            <w:rFonts w:ascii="Cambria" w:hAnsi="Cambria"/>
            <w:sz w:val="24"/>
          </w:rPr>
          <w:t>CA/D 9/25</w:t>
        </w:r>
        <w:r w:rsidRPr="004F305A">
          <w:rPr>
            <w:rFonts w:ascii="Cambria" w:hAnsi="Cambria"/>
            <w:sz w:val="24"/>
          </w:rPr>
          <w:tab/>
        </w:r>
        <w:r w:rsidRPr="004F305A">
          <w:rPr>
            <w:rFonts w:ascii="Cambria" w:hAnsi="Cambria"/>
            <w:sz w:val="24"/>
          </w:rPr>
          <w:tab/>
        </w:r>
        <w:r w:rsidR="00EC5C76" w:rsidRPr="004F305A">
          <w:rPr>
            <w:rFonts w:ascii="Cambria" w:hAnsi="Cambria"/>
            <w:sz w:val="24"/>
          </w:rPr>
          <w:fldChar w:fldCharType="begin"/>
        </w:r>
        <w:r w:rsidR="00EC5C76" w:rsidRPr="004F305A">
          <w:rPr>
            <w:rFonts w:ascii="Cambria" w:hAnsi="Cambria"/>
            <w:sz w:val="24"/>
          </w:rPr>
          <w:instrText>PAGE   \* MERGEFORMAT</w:instrText>
        </w:r>
        <w:r w:rsidR="00EC5C76" w:rsidRPr="004F305A">
          <w:rPr>
            <w:rFonts w:ascii="Cambria" w:hAnsi="Cambria"/>
            <w:sz w:val="24"/>
          </w:rPr>
          <w:fldChar w:fldCharType="separate"/>
        </w:r>
        <w:r w:rsidR="005D5398">
          <w:rPr>
            <w:rFonts w:ascii="Cambria" w:hAnsi="Cambria"/>
            <w:noProof/>
            <w:sz w:val="24"/>
          </w:rPr>
          <w:t>1</w:t>
        </w:r>
        <w:r w:rsidR="00EC5C76" w:rsidRPr="004F305A">
          <w:rPr>
            <w:rFonts w:ascii="Cambria" w:hAnsi="Cambria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B8F3" w14:textId="77777777" w:rsidR="000677CB" w:rsidRDefault="000677CB" w:rsidP="00D04D01">
      <w:pPr>
        <w:spacing w:after="0"/>
      </w:pPr>
      <w:r>
        <w:separator/>
      </w:r>
    </w:p>
  </w:footnote>
  <w:footnote w:type="continuationSeparator" w:id="0">
    <w:p w14:paraId="362DA0C8" w14:textId="77777777" w:rsidR="000677CB" w:rsidRDefault="000677CB" w:rsidP="00D04D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7E3"/>
    <w:multiLevelType w:val="hybridMultilevel"/>
    <w:tmpl w:val="731EC0C4"/>
    <w:lvl w:ilvl="0" w:tplc="E810488E">
      <w:start w:val="1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7AD"/>
    <w:multiLevelType w:val="hybridMultilevel"/>
    <w:tmpl w:val="72A81F7C"/>
    <w:lvl w:ilvl="0" w:tplc="7300397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372EA8"/>
    <w:multiLevelType w:val="hybridMultilevel"/>
    <w:tmpl w:val="D7824B12"/>
    <w:lvl w:ilvl="0" w:tplc="A1326BB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0FFF6CA2"/>
    <w:multiLevelType w:val="hybridMultilevel"/>
    <w:tmpl w:val="BD40C6BA"/>
    <w:lvl w:ilvl="0" w:tplc="A1326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9514A"/>
    <w:multiLevelType w:val="hybridMultilevel"/>
    <w:tmpl w:val="8402CF84"/>
    <w:lvl w:ilvl="0" w:tplc="8A3CAD3A">
      <w:start w:val="1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2471"/>
    <w:multiLevelType w:val="hybridMultilevel"/>
    <w:tmpl w:val="64F214AE"/>
    <w:lvl w:ilvl="0" w:tplc="D1483C02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C1919"/>
    <w:multiLevelType w:val="hybridMultilevel"/>
    <w:tmpl w:val="3632917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2CA"/>
    <w:multiLevelType w:val="hybridMultilevel"/>
    <w:tmpl w:val="2F8A3E66"/>
    <w:lvl w:ilvl="0" w:tplc="0CDA73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779B"/>
    <w:multiLevelType w:val="hybridMultilevel"/>
    <w:tmpl w:val="6C64BC4C"/>
    <w:lvl w:ilvl="0" w:tplc="8EACCA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82B57"/>
    <w:multiLevelType w:val="hybridMultilevel"/>
    <w:tmpl w:val="9A1CA22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C1C"/>
    <w:multiLevelType w:val="hybridMultilevel"/>
    <w:tmpl w:val="09160AC0"/>
    <w:lvl w:ilvl="0" w:tplc="E140DB4C">
      <w:start w:val="1"/>
      <w:numFmt w:val="decimal"/>
      <w:lvlText w:val="%10a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3A9521C"/>
    <w:multiLevelType w:val="multilevel"/>
    <w:tmpl w:val="6EFADC4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5BD65A45"/>
    <w:multiLevelType w:val="hybridMultilevel"/>
    <w:tmpl w:val="B556490C"/>
    <w:lvl w:ilvl="0" w:tplc="8EACCA9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608F7"/>
    <w:multiLevelType w:val="hybridMultilevel"/>
    <w:tmpl w:val="1C6016AE"/>
    <w:lvl w:ilvl="0" w:tplc="701EB42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78007">
    <w:abstractNumId w:val="11"/>
  </w:num>
  <w:num w:numId="2" w16cid:durableId="1197083690">
    <w:abstractNumId w:val="9"/>
  </w:num>
  <w:num w:numId="3" w16cid:durableId="1968927637">
    <w:abstractNumId w:val="6"/>
  </w:num>
  <w:num w:numId="4" w16cid:durableId="1353334575">
    <w:abstractNumId w:val="3"/>
  </w:num>
  <w:num w:numId="5" w16cid:durableId="1501118972">
    <w:abstractNumId w:val="7"/>
  </w:num>
  <w:num w:numId="6" w16cid:durableId="1816527730">
    <w:abstractNumId w:val="2"/>
  </w:num>
  <w:num w:numId="7" w16cid:durableId="927274100">
    <w:abstractNumId w:val="1"/>
  </w:num>
  <w:num w:numId="8" w16cid:durableId="339236768">
    <w:abstractNumId w:val="12"/>
  </w:num>
  <w:num w:numId="9" w16cid:durableId="424888851">
    <w:abstractNumId w:val="8"/>
  </w:num>
  <w:num w:numId="10" w16cid:durableId="1620914715">
    <w:abstractNumId w:val="10"/>
  </w:num>
  <w:num w:numId="11" w16cid:durableId="479999661">
    <w:abstractNumId w:val="5"/>
  </w:num>
  <w:num w:numId="12" w16cid:durableId="1261600706">
    <w:abstractNumId w:val="13"/>
  </w:num>
  <w:num w:numId="13" w16cid:durableId="2071685665">
    <w:abstractNumId w:val="0"/>
  </w:num>
  <w:num w:numId="14" w16cid:durableId="787358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07F"/>
    <w:rsid w:val="00007AFA"/>
    <w:rsid w:val="0002332B"/>
    <w:rsid w:val="00047B0B"/>
    <w:rsid w:val="00052AA2"/>
    <w:rsid w:val="0006775E"/>
    <w:rsid w:val="000677CB"/>
    <w:rsid w:val="00073AD9"/>
    <w:rsid w:val="00087405"/>
    <w:rsid w:val="00087D5A"/>
    <w:rsid w:val="000939F3"/>
    <w:rsid w:val="000A0329"/>
    <w:rsid w:val="000B09FB"/>
    <w:rsid w:val="000C36C6"/>
    <w:rsid w:val="000D1FAA"/>
    <w:rsid w:val="000D6901"/>
    <w:rsid w:val="000F1054"/>
    <w:rsid w:val="000F2D73"/>
    <w:rsid w:val="000F6C20"/>
    <w:rsid w:val="001012E0"/>
    <w:rsid w:val="001123F4"/>
    <w:rsid w:val="00116E97"/>
    <w:rsid w:val="00117AD1"/>
    <w:rsid w:val="001234EF"/>
    <w:rsid w:val="001330E3"/>
    <w:rsid w:val="00146627"/>
    <w:rsid w:val="00147ED2"/>
    <w:rsid w:val="001535FB"/>
    <w:rsid w:val="0017528B"/>
    <w:rsid w:val="00186F96"/>
    <w:rsid w:val="00187CFF"/>
    <w:rsid w:val="001906FB"/>
    <w:rsid w:val="001932CA"/>
    <w:rsid w:val="001A39BC"/>
    <w:rsid w:val="001B2517"/>
    <w:rsid w:val="001C42BF"/>
    <w:rsid w:val="001C5524"/>
    <w:rsid w:val="001D06A2"/>
    <w:rsid w:val="001D7F5C"/>
    <w:rsid w:val="00213123"/>
    <w:rsid w:val="00223B99"/>
    <w:rsid w:val="00241CE3"/>
    <w:rsid w:val="00241DA7"/>
    <w:rsid w:val="002450F9"/>
    <w:rsid w:val="0025054E"/>
    <w:rsid w:val="00253667"/>
    <w:rsid w:val="002719F6"/>
    <w:rsid w:val="0027720D"/>
    <w:rsid w:val="00293266"/>
    <w:rsid w:val="002A0F85"/>
    <w:rsid w:val="002A26A1"/>
    <w:rsid w:val="002A456D"/>
    <w:rsid w:val="002B1201"/>
    <w:rsid w:val="002B4426"/>
    <w:rsid w:val="002D366C"/>
    <w:rsid w:val="002D76DC"/>
    <w:rsid w:val="002E0DDA"/>
    <w:rsid w:val="00304B14"/>
    <w:rsid w:val="00305B7E"/>
    <w:rsid w:val="00325406"/>
    <w:rsid w:val="00354B5E"/>
    <w:rsid w:val="003557C7"/>
    <w:rsid w:val="00372995"/>
    <w:rsid w:val="0037461A"/>
    <w:rsid w:val="00376FFD"/>
    <w:rsid w:val="00381B5B"/>
    <w:rsid w:val="00386FF8"/>
    <w:rsid w:val="003A29F2"/>
    <w:rsid w:val="003A741A"/>
    <w:rsid w:val="003A7BCE"/>
    <w:rsid w:val="003B3442"/>
    <w:rsid w:val="003B489C"/>
    <w:rsid w:val="003B4DAA"/>
    <w:rsid w:val="003C57B0"/>
    <w:rsid w:val="003D78E3"/>
    <w:rsid w:val="003E3235"/>
    <w:rsid w:val="003F3428"/>
    <w:rsid w:val="003F77A7"/>
    <w:rsid w:val="004156CA"/>
    <w:rsid w:val="004159BB"/>
    <w:rsid w:val="004248A3"/>
    <w:rsid w:val="0045016E"/>
    <w:rsid w:val="00471B80"/>
    <w:rsid w:val="00487ED2"/>
    <w:rsid w:val="00496DC3"/>
    <w:rsid w:val="004C0CBA"/>
    <w:rsid w:val="004D0B4A"/>
    <w:rsid w:val="004F305A"/>
    <w:rsid w:val="004F3482"/>
    <w:rsid w:val="004F7868"/>
    <w:rsid w:val="00503B42"/>
    <w:rsid w:val="00517091"/>
    <w:rsid w:val="00517309"/>
    <w:rsid w:val="00525798"/>
    <w:rsid w:val="005420C0"/>
    <w:rsid w:val="00546528"/>
    <w:rsid w:val="00562637"/>
    <w:rsid w:val="005679C5"/>
    <w:rsid w:val="0057468D"/>
    <w:rsid w:val="00574CF2"/>
    <w:rsid w:val="005750B6"/>
    <w:rsid w:val="00580B53"/>
    <w:rsid w:val="005C6C14"/>
    <w:rsid w:val="005D5398"/>
    <w:rsid w:val="005E4778"/>
    <w:rsid w:val="00604E16"/>
    <w:rsid w:val="00625573"/>
    <w:rsid w:val="00626A8E"/>
    <w:rsid w:val="00632D02"/>
    <w:rsid w:val="00657D65"/>
    <w:rsid w:val="006610D7"/>
    <w:rsid w:val="00663083"/>
    <w:rsid w:val="00680043"/>
    <w:rsid w:val="006974AC"/>
    <w:rsid w:val="006C22EC"/>
    <w:rsid w:val="006C7716"/>
    <w:rsid w:val="006D5093"/>
    <w:rsid w:val="006D7B9F"/>
    <w:rsid w:val="006E5427"/>
    <w:rsid w:val="006F55B5"/>
    <w:rsid w:val="00703D56"/>
    <w:rsid w:val="007142B0"/>
    <w:rsid w:val="007172C1"/>
    <w:rsid w:val="00721E0A"/>
    <w:rsid w:val="00724E3D"/>
    <w:rsid w:val="00740006"/>
    <w:rsid w:val="007425EB"/>
    <w:rsid w:val="00743B3F"/>
    <w:rsid w:val="007541AF"/>
    <w:rsid w:val="00755E18"/>
    <w:rsid w:val="007621B7"/>
    <w:rsid w:val="00775B74"/>
    <w:rsid w:val="00787A1F"/>
    <w:rsid w:val="007908BC"/>
    <w:rsid w:val="007B1B9D"/>
    <w:rsid w:val="007E3168"/>
    <w:rsid w:val="007F1C6B"/>
    <w:rsid w:val="007F61C8"/>
    <w:rsid w:val="008147AF"/>
    <w:rsid w:val="00817640"/>
    <w:rsid w:val="008228ED"/>
    <w:rsid w:val="00831A27"/>
    <w:rsid w:val="00836FAC"/>
    <w:rsid w:val="00841D62"/>
    <w:rsid w:val="00845320"/>
    <w:rsid w:val="00854529"/>
    <w:rsid w:val="00857C53"/>
    <w:rsid w:val="00867873"/>
    <w:rsid w:val="008C034F"/>
    <w:rsid w:val="008C3921"/>
    <w:rsid w:val="008C4476"/>
    <w:rsid w:val="008C5C83"/>
    <w:rsid w:val="008C640D"/>
    <w:rsid w:val="0093662A"/>
    <w:rsid w:val="00936E9C"/>
    <w:rsid w:val="00950703"/>
    <w:rsid w:val="00961F93"/>
    <w:rsid w:val="00972E0B"/>
    <w:rsid w:val="00986719"/>
    <w:rsid w:val="0099555B"/>
    <w:rsid w:val="009B1D12"/>
    <w:rsid w:val="009B2D0C"/>
    <w:rsid w:val="009B6371"/>
    <w:rsid w:val="009C1171"/>
    <w:rsid w:val="009C54A2"/>
    <w:rsid w:val="009C7472"/>
    <w:rsid w:val="009D1961"/>
    <w:rsid w:val="009E7848"/>
    <w:rsid w:val="00A21205"/>
    <w:rsid w:val="00A27364"/>
    <w:rsid w:val="00A31079"/>
    <w:rsid w:val="00A325C0"/>
    <w:rsid w:val="00A32BF2"/>
    <w:rsid w:val="00A37D26"/>
    <w:rsid w:val="00A516DA"/>
    <w:rsid w:val="00A52670"/>
    <w:rsid w:val="00A55C44"/>
    <w:rsid w:val="00A607E6"/>
    <w:rsid w:val="00A7229D"/>
    <w:rsid w:val="00A81215"/>
    <w:rsid w:val="00A951F9"/>
    <w:rsid w:val="00AB6257"/>
    <w:rsid w:val="00AB7130"/>
    <w:rsid w:val="00AC1C47"/>
    <w:rsid w:val="00AD7C64"/>
    <w:rsid w:val="00AE6A74"/>
    <w:rsid w:val="00AF36A3"/>
    <w:rsid w:val="00AF4E8F"/>
    <w:rsid w:val="00AF6C06"/>
    <w:rsid w:val="00B06610"/>
    <w:rsid w:val="00B1435B"/>
    <w:rsid w:val="00B14EBB"/>
    <w:rsid w:val="00B2205E"/>
    <w:rsid w:val="00B231E5"/>
    <w:rsid w:val="00B44743"/>
    <w:rsid w:val="00B47EA6"/>
    <w:rsid w:val="00B55412"/>
    <w:rsid w:val="00B61619"/>
    <w:rsid w:val="00B63B29"/>
    <w:rsid w:val="00B76D1B"/>
    <w:rsid w:val="00B8348C"/>
    <w:rsid w:val="00B942CE"/>
    <w:rsid w:val="00B95DC1"/>
    <w:rsid w:val="00BA7D0B"/>
    <w:rsid w:val="00BB6F41"/>
    <w:rsid w:val="00BD0235"/>
    <w:rsid w:val="00BD081E"/>
    <w:rsid w:val="00BE4027"/>
    <w:rsid w:val="00BE453C"/>
    <w:rsid w:val="00C02C01"/>
    <w:rsid w:val="00C3230C"/>
    <w:rsid w:val="00C3395D"/>
    <w:rsid w:val="00C41CD5"/>
    <w:rsid w:val="00C4207A"/>
    <w:rsid w:val="00C61A1C"/>
    <w:rsid w:val="00C66479"/>
    <w:rsid w:val="00C7300B"/>
    <w:rsid w:val="00C81ADE"/>
    <w:rsid w:val="00C82C46"/>
    <w:rsid w:val="00C965FA"/>
    <w:rsid w:val="00CC58F7"/>
    <w:rsid w:val="00CD28E2"/>
    <w:rsid w:val="00D04D01"/>
    <w:rsid w:val="00D20CF4"/>
    <w:rsid w:val="00D26228"/>
    <w:rsid w:val="00D3616D"/>
    <w:rsid w:val="00D4408D"/>
    <w:rsid w:val="00D44E13"/>
    <w:rsid w:val="00D465D1"/>
    <w:rsid w:val="00D727A2"/>
    <w:rsid w:val="00D923EB"/>
    <w:rsid w:val="00D95350"/>
    <w:rsid w:val="00DA03D7"/>
    <w:rsid w:val="00DB0745"/>
    <w:rsid w:val="00DB176D"/>
    <w:rsid w:val="00DB3D67"/>
    <w:rsid w:val="00DB4D94"/>
    <w:rsid w:val="00DB7F03"/>
    <w:rsid w:val="00DD55A3"/>
    <w:rsid w:val="00DD77AE"/>
    <w:rsid w:val="00DE2BA3"/>
    <w:rsid w:val="00DE3932"/>
    <w:rsid w:val="00DE47B8"/>
    <w:rsid w:val="00DE4D1E"/>
    <w:rsid w:val="00E10612"/>
    <w:rsid w:val="00E114B1"/>
    <w:rsid w:val="00E13E9E"/>
    <w:rsid w:val="00E1509C"/>
    <w:rsid w:val="00E41841"/>
    <w:rsid w:val="00E41D2D"/>
    <w:rsid w:val="00E6083C"/>
    <w:rsid w:val="00E80E40"/>
    <w:rsid w:val="00E831BD"/>
    <w:rsid w:val="00E9153E"/>
    <w:rsid w:val="00E9228B"/>
    <w:rsid w:val="00EB1437"/>
    <w:rsid w:val="00EC5C76"/>
    <w:rsid w:val="00EC76CF"/>
    <w:rsid w:val="00ED413F"/>
    <w:rsid w:val="00EE52C4"/>
    <w:rsid w:val="00F03CC6"/>
    <w:rsid w:val="00F06917"/>
    <w:rsid w:val="00F14425"/>
    <w:rsid w:val="00F2313C"/>
    <w:rsid w:val="00F263BB"/>
    <w:rsid w:val="00F34D76"/>
    <w:rsid w:val="00F43C8E"/>
    <w:rsid w:val="00F715E8"/>
    <w:rsid w:val="00F8607F"/>
    <w:rsid w:val="00F940F7"/>
    <w:rsid w:val="00FA04FE"/>
    <w:rsid w:val="00FB372A"/>
    <w:rsid w:val="00FD47CE"/>
    <w:rsid w:val="00FF0A3B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A4207"/>
  <w15:chartTrackingRefBased/>
  <w15:docId w15:val="{C8227783-3C38-47E1-8BF4-652ECB42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92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86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607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leGrid">
    <w:name w:val="Table Grid"/>
    <w:basedOn w:val="TableNormal"/>
    <w:uiPriority w:val="39"/>
    <w:rsid w:val="00F8607F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F8607F"/>
  </w:style>
  <w:style w:type="paragraph" w:styleId="BalloonText">
    <w:name w:val="Balloon Text"/>
    <w:basedOn w:val="Normal"/>
    <w:link w:val="BalloonTextChar"/>
    <w:uiPriority w:val="99"/>
    <w:semiHidden/>
    <w:unhideWhenUsed/>
    <w:rsid w:val="0098671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719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D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4D0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4D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123F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3F4"/>
  </w:style>
  <w:style w:type="paragraph" w:styleId="Footer">
    <w:name w:val="footer"/>
    <w:basedOn w:val="Normal"/>
    <w:link w:val="FooterChar"/>
    <w:uiPriority w:val="99"/>
    <w:unhideWhenUsed/>
    <w:rsid w:val="001123F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3F4"/>
  </w:style>
  <w:style w:type="paragraph" w:styleId="ListParagraph">
    <w:name w:val="List Paragraph"/>
    <w:basedOn w:val="Normal"/>
    <w:uiPriority w:val="34"/>
    <w:qFormat/>
    <w:rsid w:val="000F1054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8147AF"/>
    <w:pPr>
      <w:spacing w:after="0"/>
      <w:ind w:left="0" w:firstLine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814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7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7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9B89EA454D834CAFC805ABFACD57B0" ma:contentTypeVersion="6" ma:contentTypeDescription="Utwórz nowy dokument." ma:contentTypeScope="" ma:versionID="d146c0a843b5661bd182a28ccaf470ba">
  <xsd:schema xmlns:xsd="http://www.w3.org/2001/XMLSchema" xmlns:xs="http://www.w3.org/2001/XMLSchema" xmlns:p="http://schemas.microsoft.com/office/2006/metadata/properties" xmlns:ns3="10f0fdb1-9bc0-4dfa-8865-dfe5b369c25c" targetNamespace="http://schemas.microsoft.com/office/2006/metadata/properties" ma:root="true" ma:fieldsID="c43290ff32619c4936506dde33534324" ns3:_="">
    <xsd:import namespace="10f0fdb1-9bc0-4dfa-8865-dfe5b369c25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fdb1-9bc0-4dfa-8865-dfe5b369c25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f0fdb1-9bc0-4dfa-8865-dfe5b369c25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CF033-5F73-43D1-A047-C41606ECE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fdb1-9bc0-4dfa-8865-dfe5b369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231579-CD88-41D7-BDC1-34BD0E642E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28F04-6E39-427A-9A6F-CA88A97CAFDF}">
  <ds:schemaRefs>
    <ds:schemaRef ds:uri="http://schemas.microsoft.com/office/2006/metadata/properties"/>
    <ds:schemaRef ds:uri="http://schemas.microsoft.com/office/infopath/2007/PartnerControls"/>
    <ds:schemaRef ds:uri="10f0fdb1-9bc0-4dfa-8865-dfe5b369c25c"/>
  </ds:schemaRefs>
</ds:datastoreItem>
</file>

<file path=customXml/itemProps4.xml><?xml version="1.0" encoding="utf-8"?>
<ds:datastoreItem xmlns:ds="http://schemas.openxmlformats.org/officeDocument/2006/customXml" ds:itemID="{FB44F1EB-420B-4606-9D2B-6C2C819B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1381</Words>
  <Characters>8289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Patentowy RP</Company>
  <LinksUpToDate>false</LinksUpToDate>
  <CharactersWithSpaces>9651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Świderek Adam</dc:creator>
  <cp:keywords/>
  <dc:description/>
  <cp:lastModifiedBy>Huczuk Julia</cp:lastModifiedBy>
  <cp:revision>3</cp:revision>
  <dcterms:created xsi:type="dcterms:W3CDTF">2026-03-10T12:51:00Z</dcterms:created>
  <dcterms:modified xsi:type="dcterms:W3CDTF">2026-03-10T12:53:00Z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0x0101003E9B89EA454D834CAFC805ABFACD57B0</vt:lpwstr>
  </property>
</Properties>
</file>